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690" w:rsidRDefault="004D7690" w:rsidP="002E3267">
      <w:pPr>
        <w:jc w:val="both"/>
        <w:rPr>
          <w:rFonts w:ascii="Arial" w:hAnsi="Arial" w:cs="Arial"/>
        </w:rPr>
      </w:pPr>
    </w:p>
    <w:p w:rsidR="004D7690" w:rsidRDefault="004D7690" w:rsidP="002E3267">
      <w:pPr>
        <w:jc w:val="both"/>
        <w:rPr>
          <w:rFonts w:ascii="Arial" w:hAnsi="Arial" w:cs="Arial"/>
        </w:rPr>
      </w:pPr>
    </w:p>
    <w:p w:rsidR="002E3267" w:rsidRPr="00E010A6" w:rsidRDefault="00C84263" w:rsidP="002E3267">
      <w:pPr>
        <w:jc w:val="both"/>
        <w:rPr>
          <w:rFonts w:ascii="Calibri" w:hAnsi="Calibri" w:cs="Arial"/>
          <w:sz w:val="24"/>
          <w:szCs w:val="24"/>
        </w:rPr>
      </w:pPr>
      <w:r w:rsidRPr="00E010A6">
        <w:rPr>
          <w:rFonts w:ascii="Calibri" w:hAnsi="Calibri" w:cs="Arial"/>
          <w:sz w:val="24"/>
          <w:szCs w:val="24"/>
        </w:rPr>
        <w:t>DW</w:t>
      </w:r>
      <w:r w:rsidR="002E3267" w:rsidRPr="00E010A6">
        <w:rPr>
          <w:rFonts w:ascii="Calibri" w:hAnsi="Calibri" w:cs="Arial"/>
          <w:sz w:val="24"/>
          <w:szCs w:val="24"/>
        </w:rPr>
        <w:t>.050.</w:t>
      </w:r>
      <w:r w:rsidR="00615549">
        <w:rPr>
          <w:rFonts w:ascii="Calibri" w:hAnsi="Calibri" w:cs="Arial"/>
          <w:sz w:val="24"/>
          <w:szCs w:val="24"/>
        </w:rPr>
        <w:t>6</w:t>
      </w:r>
      <w:r w:rsidR="002E3267" w:rsidRPr="00E010A6">
        <w:rPr>
          <w:rFonts w:ascii="Calibri" w:hAnsi="Calibri" w:cs="Arial"/>
          <w:sz w:val="24"/>
          <w:szCs w:val="24"/>
        </w:rPr>
        <w:t>.201</w:t>
      </w:r>
      <w:r w:rsidRPr="00E010A6">
        <w:rPr>
          <w:rFonts w:ascii="Calibri" w:hAnsi="Calibri" w:cs="Arial"/>
          <w:sz w:val="24"/>
          <w:szCs w:val="24"/>
        </w:rPr>
        <w:t>8</w:t>
      </w:r>
      <w:r w:rsidR="002E3267" w:rsidRPr="00E010A6">
        <w:rPr>
          <w:rFonts w:ascii="Calibri" w:hAnsi="Calibri" w:cs="Arial"/>
          <w:sz w:val="24"/>
          <w:szCs w:val="24"/>
        </w:rPr>
        <w:t>.IGR</w:t>
      </w:r>
      <w:r w:rsidR="002E3267" w:rsidRPr="00E010A6">
        <w:rPr>
          <w:rFonts w:ascii="Calibri" w:hAnsi="Calibri" w:cs="Arial"/>
          <w:sz w:val="24"/>
          <w:szCs w:val="24"/>
        </w:rPr>
        <w:tab/>
      </w:r>
      <w:r w:rsidR="002E3267" w:rsidRPr="00E010A6">
        <w:rPr>
          <w:rFonts w:ascii="Calibri" w:hAnsi="Calibri" w:cs="Arial"/>
          <w:sz w:val="24"/>
          <w:szCs w:val="24"/>
        </w:rPr>
        <w:tab/>
      </w:r>
      <w:r w:rsidR="002E3267" w:rsidRPr="00E010A6">
        <w:rPr>
          <w:rFonts w:ascii="Calibri" w:hAnsi="Calibri" w:cs="Arial"/>
          <w:sz w:val="24"/>
          <w:szCs w:val="24"/>
        </w:rPr>
        <w:tab/>
        <w:t xml:space="preserve">                            Warszawa, dnia </w:t>
      </w:r>
      <w:r w:rsidR="008B67C5">
        <w:rPr>
          <w:rFonts w:ascii="Calibri" w:hAnsi="Calibri" w:cs="Arial"/>
          <w:sz w:val="24"/>
          <w:szCs w:val="24"/>
        </w:rPr>
        <w:t>29.05.2018 r</w:t>
      </w:r>
      <w:r w:rsidR="002E3267" w:rsidRPr="00E010A6">
        <w:rPr>
          <w:rFonts w:ascii="Calibri" w:hAnsi="Calibri" w:cs="Arial"/>
          <w:sz w:val="24"/>
          <w:szCs w:val="24"/>
        </w:rPr>
        <w:t>.</w:t>
      </w:r>
    </w:p>
    <w:p w:rsidR="002E3267" w:rsidRPr="00E010A6" w:rsidRDefault="002E3267" w:rsidP="002E3267">
      <w:pPr>
        <w:jc w:val="both"/>
        <w:rPr>
          <w:rFonts w:ascii="Calibri" w:hAnsi="Calibri" w:cs="Arial"/>
          <w:sz w:val="24"/>
          <w:szCs w:val="24"/>
        </w:rPr>
      </w:pPr>
    </w:p>
    <w:p w:rsidR="00615549" w:rsidRDefault="004B4DF7" w:rsidP="00C84263">
      <w:pPr>
        <w:spacing w:after="0"/>
        <w:ind w:left="4248" w:firstLine="708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XXXXXXXXXXXX</w:t>
      </w:r>
    </w:p>
    <w:p w:rsidR="002E3267" w:rsidRPr="00E010A6" w:rsidRDefault="004B4DF7" w:rsidP="00C84263">
      <w:pPr>
        <w:spacing w:after="0"/>
        <w:ind w:left="4248" w:firstLine="708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XXXXXXXXXXXX</w:t>
      </w:r>
      <w:r w:rsidR="00615549">
        <w:rPr>
          <w:rFonts w:ascii="Calibri" w:hAnsi="Calibri" w:cs="Arial"/>
          <w:b/>
          <w:sz w:val="24"/>
          <w:szCs w:val="24"/>
        </w:rPr>
        <w:t xml:space="preserve"> </w:t>
      </w:r>
    </w:p>
    <w:p w:rsidR="002E3267" w:rsidRPr="00E010A6" w:rsidRDefault="004B4DF7" w:rsidP="00C84263">
      <w:pPr>
        <w:spacing w:after="0"/>
        <w:ind w:left="4248" w:firstLine="708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XXXXXXXXXXXX</w:t>
      </w:r>
    </w:p>
    <w:p w:rsidR="002E3267" w:rsidRPr="00E010A6" w:rsidRDefault="004B4DF7" w:rsidP="002E3267">
      <w:pPr>
        <w:ind w:left="4248" w:firstLine="708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XXXXXXXXXXXX</w:t>
      </w:r>
    </w:p>
    <w:p w:rsidR="002E3267" w:rsidRDefault="002E3267" w:rsidP="002E3267">
      <w:pPr>
        <w:jc w:val="both"/>
        <w:rPr>
          <w:rFonts w:ascii="Calibri" w:hAnsi="Calibri" w:cs="Arial"/>
          <w:b/>
          <w:sz w:val="24"/>
          <w:szCs w:val="24"/>
        </w:rPr>
      </w:pPr>
    </w:p>
    <w:p w:rsidR="002E3267" w:rsidRPr="00E010A6" w:rsidRDefault="002E3267" w:rsidP="002E3267">
      <w:pPr>
        <w:ind w:left="2124" w:firstLine="708"/>
        <w:jc w:val="both"/>
        <w:rPr>
          <w:rFonts w:ascii="Calibri" w:hAnsi="Calibri" w:cs="Arial"/>
          <w:b/>
          <w:sz w:val="24"/>
          <w:szCs w:val="24"/>
        </w:rPr>
      </w:pPr>
      <w:r w:rsidRPr="00E010A6">
        <w:rPr>
          <w:rFonts w:ascii="Calibri" w:hAnsi="Calibri" w:cs="Arial"/>
          <w:b/>
          <w:sz w:val="24"/>
          <w:szCs w:val="24"/>
        </w:rPr>
        <w:t>Decyzja w sprawie interpretacji</w:t>
      </w:r>
    </w:p>
    <w:p w:rsidR="002E3267" w:rsidRPr="00E010A6" w:rsidRDefault="002E3267" w:rsidP="007C2542">
      <w:pPr>
        <w:spacing w:after="240" w:line="360" w:lineRule="auto"/>
        <w:jc w:val="center"/>
        <w:rPr>
          <w:rFonts w:ascii="Calibri" w:hAnsi="Calibri" w:cs="Arial"/>
          <w:sz w:val="24"/>
          <w:szCs w:val="24"/>
        </w:rPr>
      </w:pPr>
      <w:r w:rsidRPr="00E010A6">
        <w:rPr>
          <w:rFonts w:ascii="Calibri" w:hAnsi="Calibri" w:cs="Arial"/>
          <w:sz w:val="24"/>
          <w:szCs w:val="24"/>
        </w:rPr>
        <w:t>art. 2</w:t>
      </w:r>
      <w:r w:rsidR="00D77871">
        <w:rPr>
          <w:rFonts w:ascii="Calibri" w:hAnsi="Calibri" w:cs="Arial"/>
          <w:sz w:val="24"/>
          <w:szCs w:val="24"/>
        </w:rPr>
        <w:t>2</w:t>
      </w:r>
      <w:r w:rsidRPr="00E010A6">
        <w:rPr>
          <w:rFonts w:ascii="Calibri" w:hAnsi="Calibri" w:cs="Arial"/>
          <w:sz w:val="24"/>
          <w:szCs w:val="24"/>
        </w:rPr>
        <w:t xml:space="preserve"> ustawy o rehabilitacji zawodowej i społecznej oraz zatrudnianiu osób niepełnosprawnych</w:t>
      </w:r>
    </w:p>
    <w:p w:rsidR="002E3267" w:rsidRPr="00E010A6" w:rsidRDefault="002E3267" w:rsidP="00E010A6">
      <w:pPr>
        <w:spacing w:line="360" w:lineRule="auto"/>
        <w:jc w:val="both"/>
        <w:rPr>
          <w:rFonts w:ascii="Calibri" w:hAnsi="Calibri" w:cs="Arial"/>
          <w:sz w:val="24"/>
          <w:szCs w:val="24"/>
        </w:rPr>
      </w:pPr>
      <w:r w:rsidRPr="00E010A6">
        <w:rPr>
          <w:rFonts w:ascii="Calibri" w:hAnsi="Calibri" w:cs="Arial"/>
          <w:sz w:val="24"/>
          <w:szCs w:val="24"/>
        </w:rPr>
        <w:t>Na podstawie art.10 i 10a ustawy z dnia 2 lipca 2004 r. o swobodzie działalności gospodarczej (Dz.U. z 201</w:t>
      </w:r>
      <w:r w:rsidR="00C84263" w:rsidRPr="00E010A6">
        <w:rPr>
          <w:rFonts w:ascii="Calibri" w:hAnsi="Calibri" w:cs="Arial"/>
          <w:sz w:val="24"/>
          <w:szCs w:val="24"/>
        </w:rPr>
        <w:t>7</w:t>
      </w:r>
      <w:r w:rsidRPr="00E010A6">
        <w:rPr>
          <w:rFonts w:ascii="Calibri" w:hAnsi="Calibri" w:cs="Arial"/>
          <w:sz w:val="24"/>
          <w:szCs w:val="24"/>
        </w:rPr>
        <w:t xml:space="preserve"> </w:t>
      </w:r>
      <w:r w:rsidR="00C84263" w:rsidRPr="00E010A6">
        <w:rPr>
          <w:rFonts w:ascii="Calibri" w:hAnsi="Calibri" w:cs="Arial"/>
          <w:sz w:val="24"/>
          <w:szCs w:val="24"/>
        </w:rPr>
        <w:t>r.</w:t>
      </w:r>
      <w:r w:rsidRPr="00E010A6">
        <w:rPr>
          <w:rFonts w:ascii="Calibri" w:hAnsi="Calibri" w:cs="Arial"/>
          <w:sz w:val="24"/>
          <w:szCs w:val="24"/>
        </w:rPr>
        <w:t xml:space="preserve"> poz.</w:t>
      </w:r>
      <w:r w:rsidR="00C84263" w:rsidRPr="00E010A6">
        <w:rPr>
          <w:rFonts w:ascii="Calibri" w:hAnsi="Calibri" w:cs="Arial"/>
          <w:sz w:val="24"/>
          <w:szCs w:val="24"/>
        </w:rPr>
        <w:t>2168</w:t>
      </w:r>
      <w:r w:rsidR="009A1C12" w:rsidRPr="00E010A6">
        <w:rPr>
          <w:rFonts w:ascii="Calibri" w:hAnsi="Calibri" w:cs="Arial"/>
          <w:sz w:val="24"/>
          <w:szCs w:val="24"/>
        </w:rPr>
        <w:t xml:space="preserve"> z późn.zm.</w:t>
      </w:r>
      <w:r w:rsidRPr="00E010A6">
        <w:rPr>
          <w:rFonts w:ascii="Calibri" w:hAnsi="Calibri" w:cs="Arial"/>
          <w:sz w:val="24"/>
          <w:szCs w:val="24"/>
        </w:rPr>
        <w:t>)</w:t>
      </w:r>
      <w:r w:rsidR="00D77871">
        <w:rPr>
          <w:rFonts w:ascii="Calibri" w:hAnsi="Calibri" w:cs="Arial"/>
          <w:sz w:val="24"/>
          <w:szCs w:val="24"/>
        </w:rPr>
        <w:t xml:space="preserve"> w związku z art.196 ust.2 ustawy z dnia</w:t>
      </w:r>
      <w:r w:rsidR="00055140">
        <w:rPr>
          <w:rFonts w:ascii="Calibri" w:hAnsi="Calibri" w:cs="Arial"/>
          <w:sz w:val="24"/>
          <w:szCs w:val="24"/>
        </w:rPr>
        <w:t xml:space="preserve"> </w:t>
      </w:r>
      <w:r w:rsidR="00BF6035">
        <w:rPr>
          <w:rFonts w:ascii="Calibri" w:hAnsi="Calibri" w:cs="Arial"/>
          <w:sz w:val="24"/>
          <w:szCs w:val="24"/>
        </w:rPr>
        <w:br/>
      </w:r>
      <w:r w:rsidR="00055140">
        <w:rPr>
          <w:rFonts w:ascii="Calibri" w:hAnsi="Calibri" w:cs="Arial"/>
          <w:sz w:val="24"/>
          <w:szCs w:val="24"/>
        </w:rPr>
        <w:t xml:space="preserve">6 marca 2018 r. </w:t>
      </w:r>
      <w:r w:rsidR="00D77871">
        <w:rPr>
          <w:rFonts w:ascii="Calibri" w:hAnsi="Calibri" w:cs="Arial"/>
          <w:sz w:val="24"/>
          <w:szCs w:val="24"/>
        </w:rPr>
        <w:t>Przepisy wprowadzające ustawę – Prawo przedsiębiorców oraz inne</w:t>
      </w:r>
      <w:r w:rsidR="00055140">
        <w:rPr>
          <w:rFonts w:ascii="Calibri" w:hAnsi="Calibri" w:cs="Arial"/>
          <w:sz w:val="24"/>
          <w:szCs w:val="24"/>
        </w:rPr>
        <w:t xml:space="preserve"> ustawy dotyczące działalności gospodarczej (Dz.U. z 2018 r. poz.650)</w:t>
      </w:r>
      <w:r w:rsidR="00D77871">
        <w:rPr>
          <w:rFonts w:ascii="Calibri" w:hAnsi="Calibri" w:cs="Arial"/>
          <w:sz w:val="24"/>
          <w:szCs w:val="24"/>
        </w:rPr>
        <w:t xml:space="preserve"> </w:t>
      </w:r>
      <w:r w:rsidRPr="00E010A6">
        <w:rPr>
          <w:rFonts w:ascii="Calibri" w:hAnsi="Calibri" w:cs="Arial"/>
          <w:sz w:val="24"/>
          <w:szCs w:val="24"/>
        </w:rPr>
        <w:t xml:space="preserve">Prezes </w:t>
      </w:r>
      <w:r w:rsidR="003B06BB">
        <w:rPr>
          <w:rFonts w:ascii="Calibri" w:hAnsi="Calibri" w:cs="Arial"/>
          <w:sz w:val="24"/>
          <w:szCs w:val="24"/>
        </w:rPr>
        <w:t xml:space="preserve">Zarządu </w:t>
      </w:r>
      <w:r w:rsidRPr="00E010A6">
        <w:rPr>
          <w:rFonts w:ascii="Calibri" w:hAnsi="Calibri" w:cs="Arial"/>
          <w:sz w:val="24"/>
          <w:szCs w:val="24"/>
        </w:rPr>
        <w:t xml:space="preserve">Państwowego Funduszu Rehabilitacji Osób Niepełnosprawnych (zwanego dalej PFRON) stwierdza, </w:t>
      </w:r>
      <w:r w:rsidR="003B06BB">
        <w:rPr>
          <w:rFonts w:ascii="Calibri" w:hAnsi="Calibri" w:cs="Arial"/>
          <w:sz w:val="24"/>
          <w:szCs w:val="24"/>
        </w:rPr>
        <w:br/>
      </w:r>
      <w:bookmarkStart w:id="0" w:name="_GoBack"/>
      <w:bookmarkEnd w:id="0"/>
      <w:r w:rsidRPr="00E010A6">
        <w:rPr>
          <w:rFonts w:ascii="Calibri" w:hAnsi="Calibri" w:cs="Arial"/>
          <w:sz w:val="24"/>
          <w:szCs w:val="24"/>
        </w:rPr>
        <w:t xml:space="preserve">że stanowisko </w:t>
      </w:r>
      <w:r w:rsidR="004B4DF7">
        <w:rPr>
          <w:rFonts w:ascii="Calibri" w:hAnsi="Calibri" w:cs="Arial"/>
          <w:sz w:val="24"/>
          <w:szCs w:val="24"/>
        </w:rPr>
        <w:t>XXXXXXXXXXXXXXXXXXXXX</w:t>
      </w:r>
      <w:r w:rsidR="00D77871">
        <w:rPr>
          <w:rFonts w:ascii="Calibri" w:hAnsi="Calibri" w:cs="Arial"/>
          <w:sz w:val="24"/>
          <w:szCs w:val="24"/>
        </w:rPr>
        <w:t xml:space="preserve"> </w:t>
      </w:r>
      <w:r w:rsidRPr="00E010A6">
        <w:rPr>
          <w:rFonts w:ascii="Calibri" w:hAnsi="Calibri" w:cs="Arial"/>
          <w:sz w:val="24"/>
          <w:szCs w:val="24"/>
        </w:rPr>
        <w:t xml:space="preserve">z siedzibą w </w:t>
      </w:r>
      <w:r w:rsidR="004B4DF7">
        <w:rPr>
          <w:rFonts w:ascii="Calibri" w:hAnsi="Calibri" w:cs="Arial"/>
          <w:sz w:val="24"/>
          <w:szCs w:val="24"/>
        </w:rPr>
        <w:t>XXXXXXXXXX</w:t>
      </w:r>
      <w:r w:rsidR="00D77871">
        <w:rPr>
          <w:rFonts w:ascii="Calibri" w:hAnsi="Calibri" w:cs="Arial"/>
          <w:sz w:val="24"/>
          <w:szCs w:val="24"/>
        </w:rPr>
        <w:t xml:space="preserve"> </w:t>
      </w:r>
      <w:r w:rsidRPr="00E010A6">
        <w:rPr>
          <w:rFonts w:ascii="Calibri" w:hAnsi="Calibri" w:cs="Arial"/>
          <w:sz w:val="24"/>
          <w:szCs w:val="24"/>
        </w:rPr>
        <w:t>(zwane</w:t>
      </w:r>
      <w:r w:rsidR="004C1704">
        <w:rPr>
          <w:rFonts w:ascii="Calibri" w:hAnsi="Calibri" w:cs="Arial"/>
          <w:sz w:val="24"/>
          <w:szCs w:val="24"/>
        </w:rPr>
        <w:t>j</w:t>
      </w:r>
      <w:r w:rsidRPr="00E010A6">
        <w:rPr>
          <w:rFonts w:ascii="Calibri" w:hAnsi="Calibri" w:cs="Arial"/>
          <w:sz w:val="24"/>
          <w:szCs w:val="24"/>
        </w:rPr>
        <w:t xml:space="preserve"> dalej </w:t>
      </w:r>
      <w:r w:rsidR="006841CD">
        <w:rPr>
          <w:rFonts w:ascii="Calibri" w:hAnsi="Calibri" w:cs="Arial"/>
          <w:sz w:val="24"/>
          <w:szCs w:val="24"/>
        </w:rPr>
        <w:t>W</w:t>
      </w:r>
      <w:r w:rsidRPr="00E010A6">
        <w:rPr>
          <w:rFonts w:ascii="Calibri" w:hAnsi="Calibri" w:cs="Arial"/>
          <w:sz w:val="24"/>
          <w:szCs w:val="24"/>
        </w:rPr>
        <w:t>nioskodawcą</w:t>
      </w:r>
      <w:r w:rsidR="00C84263" w:rsidRPr="00E010A6">
        <w:rPr>
          <w:rFonts w:ascii="Calibri" w:hAnsi="Calibri" w:cs="Arial"/>
          <w:sz w:val="24"/>
          <w:szCs w:val="24"/>
        </w:rPr>
        <w:t xml:space="preserve"> lub </w:t>
      </w:r>
      <w:r w:rsidR="00D77871">
        <w:rPr>
          <w:rFonts w:ascii="Calibri" w:hAnsi="Calibri" w:cs="Arial"/>
          <w:sz w:val="24"/>
          <w:szCs w:val="24"/>
        </w:rPr>
        <w:t>Spółką</w:t>
      </w:r>
      <w:r w:rsidRPr="00E010A6">
        <w:rPr>
          <w:rFonts w:ascii="Calibri" w:hAnsi="Calibri" w:cs="Arial"/>
          <w:sz w:val="24"/>
          <w:szCs w:val="24"/>
        </w:rPr>
        <w:t>) zaprezentowane we wniosku z dnia 1</w:t>
      </w:r>
      <w:r w:rsidR="00D77871">
        <w:rPr>
          <w:rFonts w:ascii="Calibri" w:hAnsi="Calibri" w:cs="Arial"/>
          <w:sz w:val="24"/>
          <w:szCs w:val="24"/>
        </w:rPr>
        <w:t xml:space="preserve">4 kwietnia </w:t>
      </w:r>
      <w:r w:rsidRPr="00E010A6">
        <w:rPr>
          <w:rFonts w:ascii="Calibri" w:hAnsi="Calibri" w:cs="Arial"/>
          <w:sz w:val="24"/>
          <w:szCs w:val="24"/>
        </w:rPr>
        <w:t>201</w:t>
      </w:r>
      <w:r w:rsidR="00D77871">
        <w:rPr>
          <w:rFonts w:ascii="Calibri" w:hAnsi="Calibri" w:cs="Arial"/>
          <w:sz w:val="24"/>
          <w:szCs w:val="24"/>
        </w:rPr>
        <w:t>8 r.</w:t>
      </w:r>
      <w:r w:rsidR="00A271E5">
        <w:rPr>
          <w:rFonts w:ascii="Calibri" w:hAnsi="Calibri" w:cs="Arial"/>
          <w:sz w:val="24"/>
          <w:szCs w:val="24"/>
        </w:rPr>
        <w:t xml:space="preserve"> </w:t>
      </w:r>
      <w:r w:rsidR="00D77871" w:rsidRPr="00D77871">
        <w:rPr>
          <w:rFonts w:ascii="Calibri" w:eastAsia="Times New Roman" w:hAnsi="Calibri" w:cs="Arial"/>
          <w:sz w:val="24"/>
          <w:szCs w:val="24"/>
          <w:lang w:eastAsia="pl-PL"/>
        </w:rPr>
        <w:t>uzupełnionym mail</w:t>
      </w:r>
      <w:r w:rsidR="00301799">
        <w:rPr>
          <w:rFonts w:ascii="Calibri" w:eastAsia="Times New Roman" w:hAnsi="Calibri" w:cs="Arial"/>
          <w:sz w:val="24"/>
          <w:szCs w:val="24"/>
          <w:lang w:eastAsia="pl-PL"/>
        </w:rPr>
        <w:t>ami</w:t>
      </w:r>
      <w:r w:rsidR="00D77871"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z dnia </w:t>
      </w:r>
      <w:r w:rsidR="00D77871">
        <w:rPr>
          <w:rFonts w:ascii="Calibri" w:eastAsia="Times New Roman" w:hAnsi="Calibri" w:cs="Arial"/>
          <w:sz w:val="24"/>
          <w:szCs w:val="24"/>
          <w:lang w:eastAsia="pl-PL"/>
        </w:rPr>
        <w:t>9 maja 2018 r.</w:t>
      </w:r>
      <w:r w:rsidR="00301799">
        <w:rPr>
          <w:rFonts w:ascii="Calibri" w:eastAsia="Times New Roman" w:hAnsi="Calibri" w:cs="Arial"/>
          <w:sz w:val="24"/>
          <w:szCs w:val="24"/>
          <w:lang w:eastAsia="pl-PL"/>
        </w:rPr>
        <w:t xml:space="preserve"> i 15 maja 2018 r.</w:t>
      </w:r>
      <w:r w:rsidR="006841CD">
        <w:rPr>
          <w:rFonts w:ascii="Calibri" w:eastAsia="Times New Roman" w:hAnsi="Calibri" w:cs="Arial"/>
          <w:sz w:val="24"/>
          <w:szCs w:val="24"/>
          <w:lang w:eastAsia="pl-PL"/>
        </w:rPr>
        <w:t>,</w:t>
      </w:r>
      <w:r w:rsid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="00D77871"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o udzielenie pisemnej interpretacji co do zakresu i sposobu zastosowania przepisów art.22 </w:t>
      </w:r>
      <w:r w:rsidRPr="00E010A6">
        <w:rPr>
          <w:rFonts w:ascii="Calibri" w:hAnsi="Calibri" w:cs="Arial"/>
          <w:sz w:val="24"/>
          <w:szCs w:val="24"/>
        </w:rPr>
        <w:t xml:space="preserve">ustawy z dnia </w:t>
      </w:r>
      <w:r w:rsidR="00301799">
        <w:rPr>
          <w:rFonts w:ascii="Calibri" w:hAnsi="Calibri" w:cs="Arial"/>
          <w:sz w:val="24"/>
          <w:szCs w:val="24"/>
        </w:rPr>
        <w:br/>
      </w:r>
      <w:r w:rsidRPr="00E010A6">
        <w:rPr>
          <w:rFonts w:ascii="Calibri" w:hAnsi="Calibri" w:cs="Arial"/>
          <w:sz w:val="24"/>
          <w:szCs w:val="24"/>
        </w:rPr>
        <w:t xml:space="preserve">27 sierpnia 1997 r. o </w:t>
      </w:r>
      <w:r w:rsidR="00D77871">
        <w:rPr>
          <w:rFonts w:ascii="Calibri" w:hAnsi="Calibri" w:cs="Arial"/>
          <w:sz w:val="24"/>
          <w:szCs w:val="24"/>
        </w:rPr>
        <w:t>r</w:t>
      </w:r>
      <w:r w:rsidRPr="00E010A6">
        <w:rPr>
          <w:rFonts w:ascii="Calibri" w:hAnsi="Calibri" w:cs="Arial"/>
          <w:sz w:val="24"/>
          <w:szCs w:val="24"/>
        </w:rPr>
        <w:t>ehabilitacji zawodowej i społecznej oraz zatrudnianiu osób niepełnosprawnych (Dz.U. z 201</w:t>
      </w:r>
      <w:r w:rsidR="00C84263" w:rsidRPr="00E010A6">
        <w:rPr>
          <w:rFonts w:ascii="Calibri" w:hAnsi="Calibri" w:cs="Arial"/>
          <w:sz w:val="24"/>
          <w:szCs w:val="24"/>
        </w:rPr>
        <w:t>8</w:t>
      </w:r>
      <w:r w:rsidRPr="00E010A6">
        <w:rPr>
          <w:rFonts w:ascii="Calibri" w:hAnsi="Calibri" w:cs="Arial"/>
          <w:sz w:val="24"/>
          <w:szCs w:val="24"/>
        </w:rPr>
        <w:t xml:space="preserve"> r. poz.</w:t>
      </w:r>
      <w:r w:rsidR="00C84263" w:rsidRPr="00E010A6">
        <w:rPr>
          <w:rFonts w:ascii="Calibri" w:hAnsi="Calibri" w:cs="Arial"/>
          <w:sz w:val="24"/>
          <w:szCs w:val="24"/>
        </w:rPr>
        <w:t>511</w:t>
      </w:r>
      <w:r w:rsidR="00E50197">
        <w:rPr>
          <w:rFonts w:ascii="Calibri" w:hAnsi="Calibri" w:cs="Arial"/>
          <w:sz w:val="24"/>
          <w:szCs w:val="24"/>
        </w:rPr>
        <w:t xml:space="preserve"> z późn.zm.</w:t>
      </w:r>
      <w:r w:rsidRPr="00E010A6">
        <w:rPr>
          <w:rFonts w:ascii="Calibri" w:hAnsi="Calibri" w:cs="Arial"/>
          <w:sz w:val="24"/>
          <w:szCs w:val="24"/>
        </w:rPr>
        <w:t xml:space="preserve">) zwaną dalej ustawą o rehabilitacji – </w:t>
      </w:r>
      <w:r w:rsidRPr="00E010A6">
        <w:rPr>
          <w:rFonts w:ascii="Calibri" w:hAnsi="Calibri" w:cs="Arial"/>
          <w:b/>
          <w:sz w:val="24"/>
          <w:szCs w:val="24"/>
        </w:rPr>
        <w:t>jest prawidłowe</w:t>
      </w:r>
      <w:r w:rsidRPr="00E010A6">
        <w:rPr>
          <w:rFonts w:ascii="Calibri" w:hAnsi="Calibri" w:cs="Arial"/>
          <w:sz w:val="24"/>
          <w:szCs w:val="24"/>
        </w:rPr>
        <w:t>.</w:t>
      </w:r>
    </w:p>
    <w:p w:rsidR="002E3267" w:rsidRPr="00E010A6" w:rsidRDefault="002E3267" w:rsidP="00C84263">
      <w:pPr>
        <w:spacing w:line="360" w:lineRule="auto"/>
        <w:jc w:val="center"/>
        <w:rPr>
          <w:rFonts w:ascii="Calibri" w:hAnsi="Calibri" w:cs="Arial"/>
          <w:b/>
          <w:sz w:val="24"/>
          <w:szCs w:val="24"/>
        </w:rPr>
      </w:pPr>
      <w:r w:rsidRPr="00E010A6">
        <w:rPr>
          <w:rFonts w:ascii="Calibri" w:hAnsi="Calibri" w:cs="Arial"/>
          <w:b/>
          <w:sz w:val="24"/>
          <w:szCs w:val="24"/>
        </w:rPr>
        <w:t>Uzasadnienie</w:t>
      </w:r>
      <w:r w:rsidR="004D7690" w:rsidRPr="00E010A6">
        <w:rPr>
          <w:rFonts w:ascii="Calibri" w:hAnsi="Calibri" w:cs="Arial"/>
          <w:b/>
          <w:sz w:val="24"/>
          <w:szCs w:val="24"/>
        </w:rPr>
        <w:t>:</w:t>
      </w:r>
    </w:p>
    <w:p w:rsidR="000078B5" w:rsidRPr="00D77871" w:rsidRDefault="000078B5" w:rsidP="000078B5">
      <w:pPr>
        <w:spacing w:after="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Pismem z dnia </w:t>
      </w: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14 kwietnia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>201</w:t>
      </w:r>
      <w:r>
        <w:rPr>
          <w:rFonts w:ascii="Calibri" w:eastAsia="Times New Roman" w:hAnsi="Calibri" w:cs="Arial"/>
          <w:sz w:val="24"/>
          <w:szCs w:val="24"/>
          <w:lang w:eastAsia="pl-PL"/>
        </w:rPr>
        <w:t>8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r.</w:t>
      </w:r>
      <w:r w:rsidR="00A271E5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>uzupełnionym mail</w:t>
      </w:r>
      <w:r w:rsidR="00301799">
        <w:rPr>
          <w:rFonts w:ascii="Calibri" w:eastAsia="Times New Roman" w:hAnsi="Calibri" w:cs="Arial"/>
          <w:sz w:val="24"/>
          <w:szCs w:val="24"/>
          <w:lang w:eastAsia="pl-PL"/>
        </w:rPr>
        <w:t>ami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z dnia </w:t>
      </w:r>
      <w:r>
        <w:rPr>
          <w:rFonts w:ascii="Calibri" w:eastAsia="Times New Roman" w:hAnsi="Calibri" w:cs="Arial"/>
          <w:sz w:val="24"/>
          <w:szCs w:val="24"/>
          <w:lang w:eastAsia="pl-PL"/>
        </w:rPr>
        <w:t>9 maja 2018 r.</w:t>
      </w:r>
      <w:r w:rsidR="00301799">
        <w:rPr>
          <w:rFonts w:ascii="Calibri" w:eastAsia="Times New Roman" w:hAnsi="Calibri" w:cs="Arial"/>
          <w:sz w:val="24"/>
          <w:szCs w:val="24"/>
          <w:lang w:eastAsia="pl-PL"/>
        </w:rPr>
        <w:t xml:space="preserve"> i 15 maja 2018 r.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>,</w:t>
      </w: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>Wnioskodawca skierował do Prezesa Zarządu PFRON wniosek o udzielenie pisemnej interpretacji co do zakresu i sposobu zastosowania przepisów art.22 ustawy o rehabilitacji.</w:t>
      </w:r>
    </w:p>
    <w:p w:rsidR="000078B5" w:rsidRDefault="000078B5" w:rsidP="000078B5">
      <w:pPr>
        <w:spacing w:after="240" w:line="360" w:lineRule="auto"/>
        <w:jc w:val="both"/>
        <w:rPr>
          <w:rFonts w:ascii="Calibri" w:eastAsia="Times New Roman" w:hAnsi="Calibri" w:cs="Arial"/>
          <w:i/>
          <w:sz w:val="24"/>
          <w:szCs w:val="24"/>
          <w:lang w:eastAsia="pl-PL"/>
        </w:rPr>
      </w:pP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Wniosek swój Wnioskodawca skierował na podstawie art.10 i 10a ustawy o swobodzie działalności gospodarczej. Zgodnie z art.10 ust.1 ustawy o swobodzie działalności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lastRenderedPageBreak/>
        <w:t xml:space="preserve">gospodarczej </w:t>
      </w:r>
      <w:r w:rsidRPr="00D77871">
        <w:rPr>
          <w:rFonts w:ascii="Calibri" w:eastAsia="Times New Roman" w:hAnsi="Calibri" w:cs="Arial"/>
          <w:i/>
          <w:sz w:val="24"/>
          <w:szCs w:val="24"/>
          <w:lang w:eastAsia="pl-PL"/>
        </w:rPr>
        <w:t xml:space="preserve">przedsiębiorca może złożyć do właściwego organu administracji publicznej </w:t>
      </w:r>
      <w:r w:rsidRPr="00D77871">
        <w:rPr>
          <w:rFonts w:ascii="Calibri" w:eastAsia="Times New Roman" w:hAnsi="Calibri" w:cs="Arial"/>
          <w:i/>
          <w:sz w:val="24"/>
          <w:szCs w:val="24"/>
          <w:lang w:eastAsia="pl-PL"/>
        </w:rPr>
        <w:br/>
        <w:t xml:space="preserve">lub państwowej jednostki organizacyjnej wniosek o wydanie pisemnej interpretacji </w:t>
      </w:r>
      <w:r w:rsidRPr="00D77871">
        <w:rPr>
          <w:rFonts w:ascii="Calibri" w:eastAsia="Times New Roman" w:hAnsi="Calibri" w:cs="Arial"/>
          <w:i/>
          <w:sz w:val="24"/>
          <w:szCs w:val="24"/>
          <w:lang w:eastAsia="pl-PL"/>
        </w:rPr>
        <w:br/>
        <w:t xml:space="preserve">co do zakresu i sposobu zastosowania przepisów, z których wynika obowiązek świadczenia przez przedsiębiorcę daniny publicznej oraz składek na ubezpieczenia społeczne </w:t>
      </w:r>
      <w:r w:rsidRPr="00D77871">
        <w:rPr>
          <w:rFonts w:ascii="Calibri" w:eastAsia="Times New Roman" w:hAnsi="Calibri" w:cs="Arial"/>
          <w:i/>
          <w:sz w:val="24"/>
          <w:szCs w:val="24"/>
          <w:lang w:eastAsia="pl-PL"/>
        </w:rPr>
        <w:br/>
        <w:t>lub zdrowotne, w jego indywidualnej sprawie.</w:t>
      </w:r>
    </w:p>
    <w:p w:rsidR="006841CD" w:rsidRPr="006841CD" w:rsidRDefault="006841CD" w:rsidP="000078B5">
      <w:pPr>
        <w:spacing w:after="24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Ustawa o swobodzie działalności utraciła moc z dniem 30 kwietnia 2018 r. Jednakże w myśl art.196 ust.2 ustawy </w:t>
      </w:r>
      <w:r>
        <w:rPr>
          <w:rFonts w:ascii="Calibri" w:hAnsi="Calibri" w:cs="Arial"/>
          <w:sz w:val="24"/>
          <w:szCs w:val="24"/>
        </w:rPr>
        <w:t xml:space="preserve">Przepisy wprowadzające ustawę – Prawo przedsiębiorców oraz inne ustawy dotyczące działalności gospodarczej – do wniosków o wydanie interpretacji, </w:t>
      </w:r>
      <w:r>
        <w:rPr>
          <w:rFonts w:ascii="Calibri" w:hAnsi="Calibri" w:cs="Arial"/>
          <w:sz w:val="24"/>
          <w:szCs w:val="24"/>
        </w:rPr>
        <w:br/>
        <w:t xml:space="preserve">o których mowa w art.10 ust.1 uchylonej ustawy, w stosunku do których nie wydano interpretacji przed dniem wejścia w życie ustawy Przepisy wprowadzające (…), stosuje się przepisy dotychczasowe. </w:t>
      </w:r>
      <w:r w:rsidR="007C2542">
        <w:rPr>
          <w:rFonts w:ascii="Calibri" w:hAnsi="Calibri" w:cs="Arial"/>
          <w:sz w:val="24"/>
          <w:szCs w:val="24"/>
        </w:rPr>
        <w:t>Z tego względu wniosek Spółki zosta</w:t>
      </w:r>
      <w:r w:rsidR="009148D5">
        <w:rPr>
          <w:rFonts w:ascii="Calibri" w:hAnsi="Calibri" w:cs="Arial"/>
          <w:sz w:val="24"/>
          <w:szCs w:val="24"/>
        </w:rPr>
        <w:t xml:space="preserve">ł rozpatrzony w oparciu </w:t>
      </w:r>
      <w:r w:rsidR="009148D5">
        <w:rPr>
          <w:rFonts w:ascii="Calibri" w:hAnsi="Calibri" w:cs="Arial"/>
          <w:sz w:val="24"/>
          <w:szCs w:val="24"/>
        </w:rPr>
        <w:br/>
        <w:t>o przepisy ustawy o swobodzie działalności gospodarczej.</w:t>
      </w:r>
      <w:r>
        <w:rPr>
          <w:rFonts w:ascii="Calibri" w:hAnsi="Calibri" w:cs="Arial"/>
          <w:sz w:val="24"/>
          <w:szCs w:val="24"/>
        </w:rPr>
        <w:t xml:space="preserve"> </w:t>
      </w:r>
    </w:p>
    <w:p w:rsidR="002E3267" w:rsidRDefault="002E3267" w:rsidP="00C84263">
      <w:pPr>
        <w:spacing w:after="120"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010A6">
        <w:rPr>
          <w:rFonts w:ascii="Calibri" w:hAnsi="Calibri" w:cs="Arial"/>
          <w:b/>
          <w:sz w:val="24"/>
          <w:szCs w:val="24"/>
        </w:rPr>
        <w:t>W przedmiotowym wniosku Wnioskodawca przedstawił następując</w:t>
      </w:r>
      <w:r w:rsidR="00DE0369">
        <w:rPr>
          <w:rFonts w:ascii="Calibri" w:hAnsi="Calibri" w:cs="Arial"/>
          <w:b/>
          <w:sz w:val="24"/>
          <w:szCs w:val="24"/>
        </w:rPr>
        <w:t>e</w:t>
      </w:r>
      <w:r w:rsidRPr="00E010A6">
        <w:rPr>
          <w:rFonts w:ascii="Calibri" w:hAnsi="Calibri" w:cs="Arial"/>
          <w:b/>
          <w:sz w:val="24"/>
          <w:szCs w:val="24"/>
        </w:rPr>
        <w:t xml:space="preserve"> </w:t>
      </w:r>
      <w:r w:rsidR="00812C1F">
        <w:rPr>
          <w:rFonts w:ascii="Calibri" w:hAnsi="Calibri" w:cs="Arial"/>
          <w:b/>
          <w:sz w:val="24"/>
          <w:szCs w:val="24"/>
        </w:rPr>
        <w:t>zdarzenie przyszłe</w:t>
      </w:r>
      <w:r w:rsidRPr="00E010A6">
        <w:rPr>
          <w:rFonts w:ascii="Calibri" w:hAnsi="Calibri" w:cs="Arial"/>
          <w:b/>
          <w:sz w:val="24"/>
          <w:szCs w:val="24"/>
        </w:rPr>
        <w:t>:</w:t>
      </w:r>
    </w:p>
    <w:p w:rsidR="00944C5A" w:rsidRDefault="00812C1F" w:rsidP="007D3C37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Kontrahent </w:t>
      </w:r>
      <w:r w:rsidR="00BF6035">
        <w:rPr>
          <w:rFonts w:ascii="Calibri" w:eastAsia="Times New Roman" w:hAnsi="Calibri" w:cs="Times New Roman"/>
          <w:sz w:val="24"/>
          <w:szCs w:val="24"/>
          <w:lang w:eastAsia="pl-PL"/>
        </w:rPr>
        <w:t xml:space="preserve">Spółki 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>spełnia wymogi z art.22 ust</w:t>
      </w:r>
      <w:r w:rsidR="00BF6035"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>1 ustawy o rehabilitacji, przez co jest podmiotem uprawnionym do wystawiania informacji o kwocie obniżenia wpłat</w:t>
      </w:r>
      <w:r w:rsidR="00BF6035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na PFRON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.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Jednocześnie kontrahent ten zamierza 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zawrzeć umowę faktoringu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z bankiem</w:t>
      </w:r>
      <w:r w:rsidR="00BF6035">
        <w:rPr>
          <w:rFonts w:ascii="Calibri" w:eastAsia="Times New Roman" w:hAnsi="Calibri" w:cs="Times New Roman"/>
          <w:sz w:val="24"/>
          <w:szCs w:val="24"/>
          <w:lang w:eastAsia="pl-PL"/>
        </w:rPr>
        <w:t>. T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ym samym faktor 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>(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bank)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stanie się wierzycielem </w:t>
      </w:r>
      <w:r w:rsidR="00BF6035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Wnioskodawcy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zakresie zapłaty wynagrodzenia </w:t>
      </w:r>
      <w:r w:rsidR="00BF6035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za świadczone przez kontrahenta usługi.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Spółka będzie zobowiązana wpłacać należności wynikające z faktur VAT – bezpośrednio na rachunek faktora wskazany na fakturach wystawionych przez kontrahenta, a nie na rachunek bankowy wystawcy. Wnioskodawca </w:t>
      </w:r>
      <w:r w:rsidR="00BF6035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do tej pory, mając umowę zawartą bezpośrednio z kontrahentem i dokonując płatności bezpośrednio na rachunek bankowy kontrahenta, dokonywał obniżenia wpłat na PFRON </w:t>
      </w:r>
      <w:r w:rsidR="00BF6035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na podstawie art.22 ustawy o rehabilitacji</w:t>
      </w:r>
      <w:r w:rsidR="00944C5A"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</w:p>
    <w:p w:rsidR="007D3C37" w:rsidRPr="00D77871" w:rsidRDefault="007D3C37" w:rsidP="007D3C37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>Zadaniem Wnioskodawcy, ustawa o rehabilitacji nie wskazuje, że płatność ma nastąpić bezpośrednio na rachunek bankowy sprzeda</w:t>
      </w:r>
      <w:r w:rsidR="006841CD">
        <w:rPr>
          <w:rFonts w:ascii="Calibri" w:eastAsia="Times New Roman" w:hAnsi="Calibri" w:cs="Times New Roman"/>
          <w:sz w:val="24"/>
          <w:szCs w:val="24"/>
          <w:lang w:eastAsia="pl-PL"/>
        </w:rPr>
        <w:t>jącego</w:t>
      </w: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– istotnym jest tylko by zakup usługi był udokumentowany fakturą, a uregulowanie należności za zakup usługi następował</w:t>
      </w:r>
      <w:r w:rsidR="00944C5A">
        <w:rPr>
          <w:rFonts w:ascii="Calibri" w:eastAsia="Times New Roman" w:hAnsi="Calibri" w:cs="Times New Roman"/>
          <w:sz w:val="24"/>
          <w:szCs w:val="24"/>
          <w:lang w:eastAsia="pl-PL"/>
        </w:rPr>
        <w:t>o</w:t>
      </w: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BF6035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terminie określonym na fakturze, z tym że w przypadku płatności dokonywanych </w:t>
      </w:r>
      <w:r w:rsidR="00BF6035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za pośrednictwem banku za datę uregulowania należności uważa się datę obciążenia rachunku bankowego nabywcy na podstawie polecenia przelewu. </w:t>
      </w:r>
      <w:r w:rsidR="00BF6035">
        <w:rPr>
          <w:rFonts w:ascii="Calibri" w:eastAsia="Times New Roman" w:hAnsi="Calibri" w:cs="Times New Roman"/>
          <w:sz w:val="24"/>
          <w:szCs w:val="24"/>
          <w:lang w:eastAsia="pl-PL"/>
        </w:rPr>
        <w:t>Ponadto, z</w:t>
      </w: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literalnego brzmienia przepisów ustawy o rehabilitacji nie wynika, że odbiorca usługi ma dokonywać </w:t>
      </w: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lastRenderedPageBreak/>
        <w:t xml:space="preserve">płatności bezpośrednio na rachunek sprzedawcy usługi, a jedynie, że płatność ma nastąpić </w:t>
      </w:r>
      <w:r w:rsidR="00BF6035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terminie określonym na fakturze. </w:t>
      </w:r>
    </w:p>
    <w:p w:rsidR="00944C5A" w:rsidRPr="00D77871" w:rsidRDefault="00944C5A" w:rsidP="006841CD">
      <w:pPr>
        <w:spacing w:after="24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>W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ocenie Wnioskodawcy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754E25">
        <w:rPr>
          <w:rFonts w:ascii="Calibri" w:eastAsia="Times New Roman" w:hAnsi="Calibri" w:cs="Times New Roman"/>
          <w:sz w:val="24"/>
          <w:szCs w:val="24"/>
          <w:lang w:eastAsia="pl-PL"/>
        </w:rPr>
        <w:t xml:space="preserve">-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sytuacji, gdy </w:t>
      </w: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ramach umowy faktoringu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zawartej pomiędzy kontrahentem a faktorem, będzie on dokonywać zapłaty </w:t>
      </w: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wynagrodzenia za świadczone przez </w:t>
      </w:r>
      <w:r w:rsidR="00754E25">
        <w:rPr>
          <w:rFonts w:ascii="Calibri" w:eastAsia="Times New Roman" w:hAnsi="Calibri" w:cs="Times New Roman"/>
          <w:sz w:val="24"/>
          <w:szCs w:val="24"/>
          <w:lang w:eastAsia="pl-PL"/>
        </w:rPr>
        <w:t xml:space="preserve">kontrahenta </w:t>
      </w: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usługi na konto faktora, a nie bezpośrednio na konto </w:t>
      </w:r>
      <w:r w:rsidR="00754E25">
        <w:rPr>
          <w:rFonts w:ascii="Calibri" w:eastAsia="Times New Roman" w:hAnsi="Calibri" w:cs="Times New Roman"/>
          <w:sz w:val="24"/>
          <w:szCs w:val="24"/>
          <w:lang w:eastAsia="pl-PL"/>
        </w:rPr>
        <w:t>kontrahenta – dopuszczalne jest skorzystanie przez niego z obniżenia wpłat na PFRON.</w:t>
      </w: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Warunkiem </w:t>
      </w:r>
      <w:r w:rsidR="00754E25">
        <w:rPr>
          <w:rFonts w:ascii="Calibri" w:eastAsia="Times New Roman" w:hAnsi="Calibri" w:cs="Times New Roman"/>
          <w:sz w:val="24"/>
          <w:szCs w:val="24"/>
          <w:lang w:eastAsia="pl-PL"/>
        </w:rPr>
        <w:t xml:space="preserve">dokonania takiego obniżenia będzie </w:t>
      </w: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jednak dokonanie przez </w:t>
      </w:r>
      <w:r w:rsidR="00754E25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Wnioskodawcę </w:t>
      </w: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>pełnej wpłaty należności wynikającej z faktury VAT, w terminie określonym w tej fakturze</w:t>
      </w:r>
      <w:r w:rsidR="00EF082B"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    </w:t>
      </w:r>
    </w:p>
    <w:p w:rsidR="002E3267" w:rsidRDefault="002E3267" w:rsidP="00FC2B93">
      <w:pPr>
        <w:spacing w:after="120"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010A6">
        <w:rPr>
          <w:rFonts w:ascii="Calibri" w:hAnsi="Calibri" w:cs="Arial"/>
          <w:b/>
          <w:sz w:val="24"/>
          <w:szCs w:val="24"/>
        </w:rPr>
        <w:t xml:space="preserve">W związku z powyższym zwrócono się z wnioskiem o rozstrzygnięcie następującej kwestii: </w:t>
      </w:r>
    </w:p>
    <w:p w:rsidR="007D3C37" w:rsidRPr="00D77871" w:rsidRDefault="007D3C37" w:rsidP="007D3C37">
      <w:pPr>
        <w:spacing w:after="12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czy w świetle ustawy o rehabilitacji, w tym w szczególności przepisu art.22 ustawy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br/>
        <w:t xml:space="preserve">o rehabilitacji </w:t>
      </w:r>
      <w:r w:rsidR="00A974B4">
        <w:rPr>
          <w:rFonts w:ascii="Calibri" w:eastAsia="Times New Roman" w:hAnsi="Calibri" w:cs="Arial"/>
          <w:sz w:val="24"/>
          <w:szCs w:val="24"/>
          <w:lang w:eastAsia="pl-PL"/>
        </w:rPr>
        <w:t xml:space="preserve">nadal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dopuszczalne </w:t>
      </w:r>
      <w:r w:rsidR="00A974B4">
        <w:rPr>
          <w:rFonts w:ascii="Calibri" w:eastAsia="Times New Roman" w:hAnsi="Calibri" w:cs="Arial"/>
          <w:sz w:val="24"/>
          <w:szCs w:val="24"/>
          <w:lang w:eastAsia="pl-PL"/>
        </w:rPr>
        <w:t xml:space="preserve">będzie </w:t>
      </w:r>
      <w:r w:rsidR="006841CD">
        <w:rPr>
          <w:rFonts w:ascii="Calibri" w:eastAsia="Times New Roman" w:hAnsi="Calibri" w:cs="Arial"/>
          <w:sz w:val="24"/>
          <w:szCs w:val="24"/>
          <w:lang w:eastAsia="pl-PL"/>
        </w:rPr>
        <w:t xml:space="preserve">korzystanie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przez Wnioskodawcę </w:t>
      </w:r>
      <w:r w:rsidR="006841CD">
        <w:rPr>
          <w:rFonts w:ascii="Calibri" w:eastAsia="Times New Roman" w:hAnsi="Calibri" w:cs="Arial"/>
          <w:sz w:val="24"/>
          <w:szCs w:val="24"/>
          <w:lang w:eastAsia="pl-PL"/>
        </w:rPr>
        <w:t xml:space="preserve">z </w:t>
      </w:r>
      <w:r w:rsidR="00A974B4">
        <w:rPr>
          <w:rFonts w:ascii="Calibri" w:eastAsia="Times New Roman" w:hAnsi="Calibri" w:cs="Arial"/>
          <w:sz w:val="24"/>
          <w:szCs w:val="24"/>
          <w:lang w:eastAsia="pl-PL"/>
        </w:rPr>
        <w:t xml:space="preserve">obniżenia wpłat na PFRON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pomimo, że płatności za usługi realizowane przez </w:t>
      </w:r>
      <w:r w:rsidR="00A974B4">
        <w:rPr>
          <w:rFonts w:ascii="Calibri" w:eastAsia="Times New Roman" w:hAnsi="Calibri" w:cs="Arial"/>
          <w:sz w:val="24"/>
          <w:szCs w:val="24"/>
          <w:lang w:eastAsia="pl-PL"/>
        </w:rPr>
        <w:t xml:space="preserve">kontrahenta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dokonywane </w:t>
      </w:r>
      <w:r w:rsidR="00A974B4">
        <w:rPr>
          <w:rFonts w:ascii="Calibri" w:eastAsia="Times New Roman" w:hAnsi="Calibri" w:cs="Arial"/>
          <w:sz w:val="24"/>
          <w:szCs w:val="24"/>
          <w:lang w:eastAsia="pl-PL"/>
        </w:rPr>
        <w:t xml:space="preserve">będą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na konto faktora?</w:t>
      </w:r>
    </w:p>
    <w:p w:rsidR="002E3267" w:rsidRPr="00E010A6" w:rsidRDefault="002E3267" w:rsidP="00FC2B93">
      <w:pPr>
        <w:spacing w:after="0"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010A6">
        <w:rPr>
          <w:rFonts w:ascii="Calibri" w:hAnsi="Calibri" w:cs="Arial"/>
          <w:b/>
          <w:sz w:val="24"/>
          <w:szCs w:val="24"/>
        </w:rPr>
        <w:t xml:space="preserve">Na tle przedstawionego </w:t>
      </w:r>
      <w:r w:rsidR="00A271E5">
        <w:rPr>
          <w:rFonts w:ascii="Calibri" w:hAnsi="Calibri" w:cs="Arial"/>
          <w:b/>
          <w:sz w:val="24"/>
          <w:szCs w:val="24"/>
        </w:rPr>
        <w:t>zdarzenia przyszłego</w:t>
      </w:r>
      <w:r w:rsidRPr="00E010A6">
        <w:rPr>
          <w:rFonts w:ascii="Calibri" w:hAnsi="Calibri" w:cs="Arial"/>
          <w:b/>
          <w:sz w:val="24"/>
          <w:szCs w:val="24"/>
        </w:rPr>
        <w:t>, stwierdzam co następuje:</w:t>
      </w:r>
    </w:p>
    <w:p w:rsidR="002E3267" w:rsidRDefault="002E3267" w:rsidP="009148D5">
      <w:pPr>
        <w:spacing w:after="120" w:line="360" w:lineRule="auto"/>
        <w:jc w:val="both"/>
        <w:rPr>
          <w:rFonts w:ascii="Calibri" w:hAnsi="Calibri" w:cs="Arial"/>
          <w:i/>
          <w:sz w:val="24"/>
          <w:szCs w:val="24"/>
        </w:rPr>
      </w:pPr>
      <w:r w:rsidRPr="00E010A6">
        <w:rPr>
          <w:rFonts w:ascii="Calibri" w:hAnsi="Calibri" w:cs="Arial"/>
          <w:sz w:val="24"/>
          <w:szCs w:val="24"/>
        </w:rPr>
        <w:t xml:space="preserve">Zgodnie z art.10 ust.1 ustawy o swobodzie działalności gospodarczej </w:t>
      </w:r>
      <w:r w:rsidRPr="00E010A6">
        <w:rPr>
          <w:rFonts w:ascii="Calibri" w:hAnsi="Calibri" w:cs="Arial"/>
          <w:i/>
          <w:sz w:val="24"/>
          <w:szCs w:val="24"/>
        </w:rPr>
        <w:t>przedsiębiorca może złożyć do właściwego organu administracji publicznej lub państwowej jednostki organizacyjnej wniosek o wydanie pisemnej interpretacji co do zakresu i sposobu zastosowania przepisów, z których wynika obowiązek świadczenia przez przedsiębiorcę daniny publicznej oraz składek na ubezpieczenia społeczne lub zdrowotne, w jego indywidualnej sprawie.</w:t>
      </w:r>
    </w:p>
    <w:p w:rsidR="007D3C37" w:rsidRPr="00D77871" w:rsidRDefault="006841CD" w:rsidP="007D3C37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>W myśl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art.22 ustawy o rehabilitacji, wpłaty na Fundusz, o których mowa w art.21, ulegają obniżeniu z tytułu zakupu produkcji lub usługi, z wyłączeniem handlu, odpowiednio wytworzonej lub świadczonej przez pracodawcę posiadającego określoną strukturę zatrudnienia ogółem i osób niepełnosprawnych – zwanego sprzedającym.     </w:t>
      </w:r>
    </w:p>
    <w:p w:rsidR="007D3C37" w:rsidRPr="00D77871" w:rsidRDefault="007D3C37" w:rsidP="007D3C37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Ustawa o rehabilitacji, w art.22 ust.2, wprost wskazuje jakie warunki muszą być spełnione łącznie, aby doszło do obniżenia wpłaty na PFRON. </w:t>
      </w:r>
    </w:p>
    <w:p w:rsidR="00A271E5" w:rsidRDefault="00EA0A1E" w:rsidP="00A271E5">
      <w:pPr>
        <w:spacing w:after="100" w:afterAutospacing="1" w:line="36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sz w:val="24"/>
          <w:szCs w:val="24"/>
          <w:lang w:eastAsia="pl-PL"/>
        </w:rPr>
        <w:t>Jednym z tych warunków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jest uregulowanie należności za zakup produkcji lub usługi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terminie określonym na fakturze, z tym że w przypadku płatności dokonywanych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za pośrednictwem banku za datę uregulowania należności uważa się datę obciążenia rachunku bankowego nabywcy na podstawie polecenia przelewu. Nie oznacza to jednak,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lastRenderedPageBreak/>
        <w:t xml:space="preserve">że jest to jedyna dopuszczalna forma płatności umożliwiająca nabycie prawa do </w:t>
      </w:r>
      <w:r w:rsidR="00BF6035">
        <w:rPr>
          <w:rFonts w:ascii="Calibri" w:eastAsia="Times New Roman" w:hAnsi="Calibri" w:cs="Times New Roman"/>
          <w:sz w:val="24"/>
          <w:szCs w:val="24"/>
          <w:lang w:eastAsia="pl-PL"/>
        </w:rPr>
        <w:t>obniżenia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. Skoro w tych przepisach użyto sformułowania „w przypadku”, to oznacza, że regulacja ma charakter przykładowy, dotyczący tylko jednego z wielu możliwych sposobów dokonania płatności. Pracodawca może dokonać płatności np. gotówką, czekiem, wekslem czy w drodze dwu- lub wielostronnej kompensaty albo w inny dowolny sposób. Należy jednak pamiętać, że zapłata (bez względu na jej formę) musi być dokonana w całości </w:t>
      </w:r>
      <w:r w:rsidR="009A4C8D">
        <w:rPr>
          <w:rFonts w:ascii="Calibri" w:eastAsia="Times New Roman" w:hAnsi="Calibri" w:cs="Times New Roman"/>
          <w:sz w:val="24"/>
          <w:szCs w:val="24"/>
          <w:lang w:eastAsia="pl-PL"/>
        </w:rPr>
        <w:t xml:space="preserve">i 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terminie określonym </w:t>
      </w:r>
      <w:r w:rsidR="00EF082B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na fakturze. Istotne przy doborze formy płatności jest więc to, by możliwe było ustalenie, 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br/>
        <w:t>że wierzytelność sprzeda</w:t>
      </w:r>
      <w:r w:rsidR="00BF6035">
        <w:rPr>
          <w:rFonts w:ascii="Calibri" w:eastAsia="Times New Roman" w:hAnsi="Calibri" w:cs="Times New Roman"/>
          <w:sz w:val="24"/>
          <w:szCs w:val="24"/>
          <w:lang w:eastAsia="pl-PL"/>
        </w:rPr>
        <w:t>jącego</w:t>
      </w:r>
      <w:r w:rsidR="00A271E5">
        <w:rPr>
          <w:rFonts w:ascii="Calibri" w:eastAsia="Times New Roman" w:hAnsi="Calibri" w:cs="Times New Roman"/>
          <w:sz w:val="24"/>
          <w:szCs w:val="24"/>
          <w:lang w:eastAsia="pl-PL"/>
        </w:rPr>
        <w:t>,</w:t>
      </w:r>
      <w:r w:rsidR="00BF6035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spełniającego warunki określone w art.22 ust.1 ustawy 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br/>
        <w:t>o rehabilitacji</w:t>
      </w:r>
      <w:r w:rsidR="00A271E5">
        <w:rPr>
          <w:rFonts w:ascii="Calibri" w:eastAsia="Times New Roman" w:hAnsi="Calibri" w:cs="Times New Roman"/>
          <w:sz w:val="24"/>
          <w:szCs w:val="24"/>
          <w:lang w:eastAsia="pl-PL"/>
        </w:rPr>
        <w:t>,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została </w:t>
      </w:r>
      <w:r w:rsidR="00A271E5">
        <w:rPr>
          <w:rFonts w:ascii="Calibri" w:eastAsia="Times New Roman" w:hAnsi="Calibri" w:cs="Times New Roman"/>
          <w:sz w:val="24"/>
          <w:szCs w:val="24"/>
          <w:lang w:eastAsia="pl-PL"/>
        </w:rPr>
        <w:t>spłacona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w pełnej wysokości i w terminie w</w:t>
      </w:r>
      <w:r w:rsidR="00EF082B">
        <w:rPr>
          <w:rFonts w:ascii="Calibri" w:eastAsia="Times New Roman" w:hAnsi="Calibri" w:cs="Times New Roman"/>
          <w:sz w:val="24"/>
          <w:szCs w:val="24"/>
          <w:lang w:eastAsia="pl-PL"/>
        </w:rPr>
        <w:t>skazanym</w:t>
      </w:r>
      <w:r w:rsidR="007D3C37"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na fakturze.  </w:t>
      </w:r>
      <w:r w:rsidR="009B1410" w:rsidRPr="00EF082B">
        <w:rPr>
          <w:rFonts w:ascii="Calibri" w:eastAsia="Times New Roman" w:hAnsi="Calibri" w:cs="Times New Roman"/>
          <w:sz w:val="24"/>
          <w:szCs w:val="24"/>
          <w:lang w:eastAsia="pl-PL"/>
        </w:rPr>
        <w:t>S</w:t>
      </w:r>
      <w:r w:rsidR="007D3C37" w:rsidRPr="00EF082B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 xml:space="preserve">tosownie do </w:t>
      </w:r>
      <w:r w:rsidR="007D3C37" w:rsidRPr="00EF082B">
        <w:rPr>
          <w:rFonts w:ascii="Calibri" w:eastAsia="Times New Roman" w:hAnsi="Calibri" w:cs="Times New Roman"/>
          <w:color w:val="1B1B1B"/>
          <w:sz w:val="24"/>
          <w:szCs w:val="24"/>
          <w:lang w:eastAsia="pl-PL"/>
        </w:rPr>
        <w:t>art. 509 § 1</w:t>
      </w:r>
      <w:r w:rsidR="007D3C37" w:rsidRPr="00EF082B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 xml:space="preserve"> ustawy z dnia 23 kwietnia 1964 r. Kodeks cywilny (Dz.U. z 2017 r. poz.459 z późn.zm.), wierzyciel może bez zgody dłużnika przenieść wierzytelność na osobę trzecią (przelew), chyba że sprzeciwiałoby się to ustawie, zastrzeżeniu umownemu albo właściwości zobowiązania. W nauce prawa oraz orzecznictwie nie ma wątpliwości co do tego, że przedmiotem przelewu mogą być zarówno wierzytelności istniejące, jak i przyszłe. Co do tych ostatnich podkreśla się ich niejednorodny charakter, wskazując, że należą do nich wierzytelności z czynności prawnych dokonanych pod warunkiem zawieszającym lub </w:t>
      </w:r>
      <w:r w:rsidR="00EF082B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br/>
      </w:r>
      <w:r w:rsidR="007D3C37" w:rsidRPr="00EF082B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 xml:space="preserve">z zastrzeżeniem terminu, wierzytelności, u których podłoża leży częściowo tylko zrealizowany stan faktyczny uzasadniający jej powstanie oraz wierzytelności, których powstanie jest </w:t>
      </w:r>
      <w:r w:rsidR="00EF082B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br/>
      </w:r>
      <w:r w:rsidR="007D3C37" w:rsidRPr="00EF082B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 xml:space="preserve">w całości kwestią przyszłości (nadzieja na powstanie wierzytelności). Podkreśla się także, </w:t>
      </w:r>
      <w:r w:rsidR="00EF082B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br/>
      </w:r>
      <w:r w:rsidR="007D3C37" w:rsidRPr="00EF082B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 xml:space="preserve">że wierzytelność wskazana w umowie przelewu wierzytelności przyszłej, zostaje przeniesiona na cesjonariusza dopiero z chwilą jej powstania, zatem skutek rozporządzający nie następuje w chwili zawarcia umowy cesji (wyrok Sądu Najwyższego z dnia 8 sierpnia 2003 r., </w:t>
      </w:r>
      <w:r w:rsidR="007D3C37" w:rsidRPr="00EF082B">
        <w:rPr>
          <w:rFonts w:ascii="Calibri" w:eastAsia="Times New Roman" w:hAnsi="Calibri" w:cs="Times New Roman"/>
          <w:color w:val="1B1B1B"/>
          <w:sz w:val="24"/>
          <w:szCs w:val="24"/>
          <w:lang w:eastAsia="pl-PL"/>
        </w:rPr>
        <w:t>V CK 169/02</w:t>
      </w:r>
      <w:r w:rsidR="007D3C37" w:rsidRPr="00EF082B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>,</w:t>
      </w:r>
      <w:r w:rsidR="007D3C37" w:rsidRPr="00EF082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="007D3C37" w:rsidRPr="00EF082B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 xml:space="preserve"> z dnia 9 sierpnia 2005 r., </w:t>
      </w:r>
      <w:r w:rsidR="007D3C37" w:rsidRPr="00EF082B">
        <w:rPr>
          <w:rFonts w:ascii="Calibri" w:eastAsia="Times New Roman" w:hAnsi="Calibri" w:cs="Times New Roman"/>
          <w:color w:val="1B1B1B"/>
          <w:sz w:val="24"/>
          <w:szCs w:val="24"/>
          <w:lang w:eastAsia="pl-PL"/>
        </w:rPr>
        <w:t>IV CK 157/05</w:t>
      </w:r>
      <w:r w:rsidR="007D3C37" w:rsidRPr="00EF082B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 xml:space="preserve"> i z dnia 26 września 2002 r., </w:t>
      </w:r>
      <w:r w:rsidR="007D3C37" w:rsidRPr="00EF082B">
        <w:rPr>
          <w:rFonts w:ascii="Calibri" w:eastAsia="Times New Roman" w:hAnsi="Calibri" w:cs="Times New Roman"/>
          <w:color w:val="1B1B1B"/>
          <w:sz w:val="24"/>
          <w:szCs w:val="24"/>
          <w:lang w:eastAsia="pl-PL"/>
        </w:rPr>
        <w:t>III CKN 346/01</w:t>
      </w:r>
      <w:r w:rsidR="007D3C37" w:rsidRPr="00EF082B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>).</w:t>
      </w:r>
    </w:p>
    <w:p w:rsidR="009148D5" w:rsidRDefault="007D3C37" w:rsidP="009148D5">
      <w:pPr>
        <w:spacing w:after="100" w:afterAutospacing="1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EF082B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 xml:space="preserve">Należy wskazać, że celem i skutkiem cesji jest przejście wierzytelności na nabywcę i utrata jej przez cedenta – zbywcę. Przelew </w:t>
      </w:r>
      <w:r w:rsidR="00A271E5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 xml:space="preserve">wierzytelności </w:t>
      </w:r>
      <w:r w:rsidRPr="00EF082B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 xml:space="preserve">powoduje więc, </w:t>
      </w:r>
      <w:r w:rsidR="00BF6035" w:rsidRPr="00EF082B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>ż</w:t>
      </w:r>
      <w:r w:rsidRPr="00EF082B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 xml:space="preserve">e cedent przestaje być wierzycielem, a staje się nim cesjonariusz. Dotychczasowy wierzyciel zostaje wyłączony </w:t>
      </w:r>
      <w:r w:rsidR="009148D5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br/>
      </w:r>
      <w:r w:rsidRPr="00EF082B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 xml:space="preserve">ze stosunku zobowiązanego, jaki go wiązał z dłużnikiem. Cesjonariusz nabywa wierzytelność w takim zakresie i stanie, w jakim znajdowała się ona w chwili dokonania przelewu. Zmienia się tylko osoba wierzyciela, czyli osoby uprawnionej do żądania spełnienia świadczenia. Innymi słowy, stosunek zobowiązaniowy nie ulega zmianie, natomiast zmienia się osoba uczestnicząca w nim po stronie wierzyciela (wyrok Sądu Najwyższego z dnia 5 września </w:t>
      </w:r>
      <w:r w:rsidRPr="00EF082B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lastRenderedPageBreak/>
        <w:t xml:space="preserve">2001r., I CKN 379/00). W literaturze przedmiotu podkreśla się, że przelew wierzytelności nie powoduje zmiany zobowiązania i nie może pogorszyć sytuacji dłużnika. Dłużnik dalej ma obowiązek świadczenia tylko tego, do czego był zobowiązany w stosunku do zbywcy </w:t>
      </w:r>
      <w:r w:rsidR="009148D5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br/>
      </w:r>
      <w:r w:rsidRPr="00EF082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(H. Ciepła (w:) </w:t>
      </w:r>
      <w:r w:rsidRPr="00EF082B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 xml:space="preserve">Komentarz do kodeksu cywilnego, </w:t>
      </w:r>
      <w:r w:rsidRPr="00EF082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s. 587; B. Łubkowski (w:) </w:t>
      </w:r>
      <w:r w:rsidRPr="00EF082B">
        <w:rPr>
          <w:rFonts w:ascii="Calibri" w:eastAsia="Times New Roman" w:hAnsi="Calibri" w:cs="Times New Roman"/>
          <w:i/>
          <w:iCs/>
          <w:sz w:val="24"/>
          <w:szCs w:val="24"/>
          <w:lang w:eastAsia="pl-PL"/>
        </w:rPr>
        <w:t>Kodeks cywilny – komentarz,</w:t>
      </w:r>
      <w:r w:rsidRPr="00EF082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s. 1220).</w:t>
      </w:r>
      <w:r w:rsidR="009148D5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 w:rsidRPr="00EF082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Ponadto, z treści art.512 Kodeksu cywilnego wynika, że dopóki zbywca nie zawiadomił dłużnika o przelewie, spełnienie świadczenia do rąk poprzedniego wierzyciela ma skutek względem nabywcy, chyba że w chwili spełnienia świadczenia dłużnik wiedział </w:t>
      </w:r>
      <w:r w:rsidR="009148D5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Pr="00EF082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o przelewie (uchwała Sądu Najwyższego z dnia 26 lutego 2014 r., sygn. akt III CZP 110/13). </w:t>
      </w:r>
      <w:r w:rsidR="009148D5">
        <w:rPr>
          <w:rFonts w:ascii="Calibri" w:eastAsia="Times New Roman" w:hAnsi="Calibri" w:cs="Times New Roman"/>
          <w:sz w:val="24"/>
          <w:szCs w:val="24"/>
          <w:lang w:eastAsia="pl-PL"/>
        </w:rPr>
        <w:br/>
      </w:r>
      <w:r w:rsidRPr="00EF082B">
        <w:rPr>
          <w:rFonts w:ascii="Calibri" w:eastAsia="Times New Roman" w:hAnsi="Calibri" w:cs="Times New Roman"/>
          <w:sz w:val="24"/>
          <w:szCs w:val="24"/>
          <w:lang w:eastAsia="pl-PL"/>
        </w:rPr>
        <w:t>A contrario – od momentu zawiadomienia dłużnika o zmianie wierzyciela powstaje obowiązek spełnienia świadczenia do rąk podmiotu wskazanego przez dotychczasowego wierzyciela.</w:t>
      </w: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</w:p>
    <w:p w:rsidR="00F06CE7" w:rsidRDefault="007D3C37" w:rsidP="009148D5">
      <w:pPr>
        <w:spacing w:after="100" w:afterAutospacing="1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Należy więc uznać, że stosunek prawny łączący strony umowy faktoringu oraz ich wzajemne rozliczenia stanowią realizację zasady swobody umów. W świetle zapisu art.22 ust.2 pkt 2 ustawy o rehabilitacji - wywiązanie się ze swojego zobowiązania przez </w:t>
      </w:r>
      <w:r w:rsidR="00F06CE7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Wnioskodawcę </w:t>
      </w: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poprzez terminowe i pełne uregulowanie płatności na rzecz faktora - jest dopuszczalnym prawnie sposobem regulowania płatności, uprawniającym do </w:t>
      </w:r>
      <w:r w:rsidR="00F06CE7">
        <w:rPr>
          <w:rFonts w:ascii="Calibri" w:eastAsia="Times New Roman" w:hAnsi="Calibri" w:cs="Times New Roman"/>
          <w:sz w:val="24"/>
          <w:szCs w:val="24"/>
          <w:lang w:eastAsia="pl-PL"/>
        </w:rPr>
        <w:t>skorzystania z obniżenia wpłat na PFRON przez Spółkę</w:t>
      </w: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</w:p>
    <w:p w:rsidR="007D3C37" w:rsidRPr="00D77871" w:rsidRDefault="007D3C37" w:rsidP="009148D5">
      <w:pPr>
        <w:spacing w:after="12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>Przepisy ustawy o rehabilitacji - w interpretowanym zakresie – nie stoją na przeszkodzie stosowania rozwiązań dotyczących zapłaty należności znanych pra</w:t>
      </w:r>
      <w:r w:rsidR="004A256C">
        <w:rPr>
          <w:rFonts w:ascii="Calibri" w:eastAsia="Times New Roman" w:hAnsi="Calibri" w:cs="Times New Roman"/>
          <w:sz w:val="24"/>
          <w:szCs w:val="24"/>
          <w:lang w:eastAsia="pl-PL"/>
        </w:rPr>
        <w:t>w</w:t>
      </w:r>
      <w:r w:rsidRPr="00D77871">
        <w:rPr>
          <w:rFonts w:ascii="Calibri" w:eastAsia="Times New Roman" w:hAnsi="Calibri" w:cs="Times New Roman"/>
          <w:sz w:val="24"/>
          <w:szCs w:val="24"/>
          <w:lang w:eastAsia="pl-PL"/>
        </w:rPr>
        <w:t xml:space="preserve">u cywilnemu. Z tego względu dopuszczalne jest </w:t>
      </w:r>
      <w:r w:rsidR="004A256C">
        <w:rPr>
          <w:rFonts w:ascii="Calibri" w:eastAsia="Times New Roman" w:hAnsi="Calibri" w:cs="Times New Roman"/>
          <w:sz w:val="24"/>
          <w:szCs w:val="24"/>
          <w:lang w:eastAsia="pl-PL"/>
        </w:rPr>
        <w:t xml:space="preserve">skorzystanie z obniżenia wpłat na PFRON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przez Spółkę pomimo zmiany wierzyciela w zakresie wynagrodzenia za świadczone przez </w:t>
      </w:r>
      <w:r w:rsidR="00F06CE7">
        <w:rPr>
          <w:rFonts w:ascii="Calibri" w:eastAsia="Times New Roman" w:hAnsi="Calibri" w:cs="Arial"/>
          <w:sz w:val="24"/>
          <w:szCs w:val="24"/>
          <w:lang w:eastAsia="pl-PL"/>
        </w:rPr>
        <w:t>kontrahenta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usługi.</w:t>
      </w:r>
    </w:p>
    <w:p w:rsidR="007D3C37" w:rsidRPr="00D77871" w:rsidRDefault="007D3C37" w:rsidP="00EF082B">
      <w:pPr>
        <w:spacing w:after="12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Należy </w:t>
      </w:r>
      <w:r w:rsidR="009B1410">
        <w:rPr>
          <w:rFonts w:ascii="Calibri" w:eastAsia="Times New Roman" w:hAnsi="Calibri" w:cs="Arial"/>
          <w:sz w:val="24"/>
          <w:szCs w:val="24"/>
          <w:lang w:eastAsia="pl-PL"/>
        </w:rPr>
        <w:t xml:space="preserve">przy tym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zwrócić uwagę na to, że obowiązki </w:t>
      </w:r>
      <w:r w:rsidR="009A4C8D">
        <w:rPr>
          <w:rFonts w:ascii="Calibri" w:eastAsia="Times New Roman" w:hAnsi="Calibri" w:cs="Arial"/>
          <w:sz w:val="24"/>
          <w:szCs w:val="24"/>
          <w:lang w:eastAsia="pl-PL"/>
        </w:rPr>
        <w:t xml:space="preserve">kontrahenta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jako sprzedającego określone w art.22 i 22b ustawy o rehabilitacji nie przechodzą na faktora. Dlatego </w:t>
      </w:r>
      <w:r w:rsidR="00E566D1">
        <w:rPr>
          <w:rFonts w:ascii="Calibri" w:eastAsia="Times New Roman" w:hAnsi="Calibri" w:cs="Arial"/>
          <w:sz w:val="24"/>
          <w:szCs w:val="24"/>
          <w:lang w:eastAsia="pl-PL"/>
        </w:rPr>
        <w:t xml:space="preserve">kontrahent powinien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zadbać o częstotliwość i kompletność danych przekazywanych przez faktora </w:t>
      </w:r>
      <w:r w:rsidR="009B1410">
        <w:rPr>
          <w:rFonts w:ascii="Calibri" w:eastAsia="Times New Roman" w:hAnsi="Calibri" w:cs="Arial"/>
          <w:sz w:val="24"/>
          <w:szCs w:val="24"/>
          <w:lang w:eastAsia="pl-PL"/>
        </w:rPr>
        <w:t xml:space="preserve">w zakresie kwoty i terminowości zapłaty za wystawione faktury -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w związku </w:t>
      </w:r>
      <w:r w:rsidR="009B1410">
        <w:rPr>
          <w:rFonts w:ascii="Calibri" w:eastAsia="Times New Roman" w:hAnsi="Calibri" w:cs="Arial"/>
          <w:sz w:val="24"/>
          <w:szCs w:val="24"/>
          <w:lang w:eastAsia="pl-PL"/>
        </w:rPr>
        <w:br/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z obowiązkiem weryfikacji spełnienia </w:t>
      </w:r>
      <w:r w:rsidR="009B1410">
        <w:rPr>
          <w:rFonts w:ascii="Calibri" w:eastAsia="Times New Roman" w:hAnsi="Calibri" w:cs="Arial"/>
          <w:sz w:val="24"/>
          <w:szCs w:val="24"/>
          <w:lang w:eastAsia="pl-PL"/>
        </w:rPr>
        <w:t>t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>ego warunku oraz konieczności</w:t>
      </w:r>
      <w:r w:rsidR="009B1410">
        <w:rPr>
          <w:rFonts w:ascii="Calibri" w:eastAsia="Times New Roman" w:hAnsi="Calibri" w:cs="Arial"/>
          <w:sz w:val="24"/>
          <w:szCs w:val="24"/>
          <w:lang w:eastAsia="pl-PL"/>
        </w:rPr>
        <w:t>ą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terminowego wystawienia informacji. Bowiem tylko </w:t>
      </w:r>
      <w:r w:rsidR="009A4C8D">
        <w:rPr>
          <w:rFonts w:ascii="Calibri" w:eastAsia="Times New Roman" w:hAnsi="Calibri" w:cs="Arial"/>
          <w:sz w:val="24"/>
          <w:szCs w:val="24"/>
          <w:lang w:eastAsia="pl-PL"/>
        </w:rPr>
        <w:t xml:space="preserve">kontrahent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>jest uprawnion</w:t>
      </w:r>
      <w:r w:rsidR="009A4C8D">
        <w:rPr>
          <w:rFonts w:ascii="Calibri" w:eastAsia="Times New Roman" w:hAnsi="Calibri" w:cs="Arial"/>
          <w:sz w:val="24"/>
          <w:szCs w:val="24"/>
          <w:lang w:eastAsia="pl-PL"/>
        </w:rPr>
        <w:t>y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do wystawienia informacji o kwocie obniżenia wpłat na PFRON w przypadku uregulowania</w:t>
      </w:r>
      <w:r w:rsidR="00EF082B">
        <w:rPr>
          <w:rFonts w:ascii="Calibri" w:eastAsia="Times New Roman" w:hAnsi="Calibri" w:cs="Arial"/>
          <w:sz w:val="24"/>
          <w:szCs w:val="24"/>
          <w:lang w:eastAsia="pl-PL"/>
        </w:rPr>
        <w:t>, przez Wnioskodawcę,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należności za zakup usługi w wysokości i terminie wynikającym z faktury.  </w:t>
      </w:r>
    </w:p>
    <w:p w:rsidR="00A271E5" w:rsidRDefault="00A271E5" w:rsidP="00EF082B">
      <w:pPr>
        <w:spacing w:after="12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7D3C37" w:rsidRPr="00D77871" w:rsidRDefault="007D3C37" w:rsidP="00EF082B">
      <w:pPr>
        <w:spacing w:after="12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77871">
        <w:rPr>
          <w:rFonts w:ascii="Calibri" w:eastAsia="Times New Roman" w:hAnsi="Calibri" w:cs="Arial"/>
          <w:sz w:val="24"/>
          <w:szCs w:val="24"/>
          <w:lang w:eastAsia="pl-PL"/>
        </w:rPr>
        <w:lastRenderedPageBreak/>
        <w:t xml:space="preserve">Mając powyższe na uwadze, stanowisko </w:t>
      </w:r>
      <w:r w:rsidR="004B4DF7">
        <w:rPr>
          <w:rFonts w:ascii="Calibri" w:eastAsia="Times New Roman" w:hAnsi="Calibri" w:cs="Arial"/>
          <w:sz w:val="24"/>
          <w:szCs w:val="24"/>
          <w:lang w:eastAsia="pl-PL"/>
        </w:rPr>
        <w:t>XXXXXXXXXXXXXXXXXXXXXXXXXXXX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z siedzibą </w:t>
      </w:r>
      <w:r w:rsidR="00DE0369">
        <w:rPr>
          <w:rFonts w:ascii="Calibri" w:eastAsia="Times New Roman" w:hAnsi="Calibri" w:cs="Arial"/>
          <w:sz w:val="24"/>
          <w:szCs w:val="24"/>
          <w:lang w:eastAsia="pl-PL"/>
        </w:rPr>
        <w:br/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w </w:t>
      </w:r>
      <w:r w:rsidR="004B4DF7">
        <w:rPr>
          <w:rFonts w:ascii="Calibri" w:eastAsia="Times New Roman" w:hAnsi="Calibri" w:cs="Arial"/>
          <w:sz w:val="24"/>
          <w:szCs w:val="24"/>
          <w:lang w:eastAsia="pl-PL"/>
        </w:rPr>
        <w:t>XXXXXXXXXX</w:t>
      </w:r>
      <w:r w:rsidR="009A4C8D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wyrażone w piśmie z dnia </w:t>
      </w:r>
      <w:r w:rsidR="009A4C8D">
        <w:rPr>
          <w:rFonts w:ascii="Calibri" w:eastAsia="Times New Roman" w:hAnsi="Calibri" w:cs="Arial"/>
          <w:sz w:val="24"/>
          <w:szCs w:val="24"/>
          <w:lang w:eastAsia="pl-PL"/>
        </w:rPr>
        <w:t xml:space="preserve">17 kwietnia 2018 r.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>uzupełnionym mail</w:t>
      </w:r>
      <w:r w:rsidR="00301799">
        <w:rPr>
          <w:rFonts w:ascii="Calibri" w:eastAsia="Times New Roman" w:hAnsi="Calibri" w:cs="Arial"/>
          <w:sz w:val="24"/>
          <w:szCs w:val="24"/>
          <w:lang w:eastAsia="pl-PL"/>
        </w:rPr>
        <w:t>a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>m</w:t>
      </w:r>
      <w:r w:rsidR="00301799">
        <w:rPr>
          <w:rFonts w:ascii="Calibri" w:eastAsia="Times New Roman" w:hAnsi="Calibri" w:cs="Arial"/>
          <w:sz w:val="24"/>
          <w:szCs w:val="24"/>
          <w:lang w:eastAsia="pl-PL"/>
        </w:rPr>
        <w:t>i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z dnia </w:t>
      </w:r>
      <w:r w:rsidR="009B1410">
        <w:rPr>
          <w:rFonts w:ascii="Calibri" w:eastAsia="Times New Roman" w:hAnsi="Calibri" w:cs="Arial"/>
          <w:sz w:val="24"/>
          <w:szCs w:val="24"/>
          <w:lang w:eastAsia="pl-PL"/>
        </w:rPr>
        <w:br/>
      </w:r>
      <w:r w:rsidR="009A4C8D">
        <w:rPr>
          <w:rFonts w:ascii="Calibri" w:eastAsia="Times New Roman" w:hAnsi="Calibri" w:cs="Arial"/>
          <w:sz w:val="24"/>
          <w:szCs w:val="24"/>
          <w:lang w:eastAsia="pl-PL"/>
        </w:rPr>
        <w:t>9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  <w:r w:rsidR="009A4C8D">
        <w:rPr>
          <w:rFonts w:ascii="Calibri" w:eastAsia="Times New Roman" w:hAnsi="Calibri" w:cs="Arial"/>
          <w:sz w:val="24"/>
          <w:szCs w:val="24"/>
          <w:lang w:eastAsia="pl-PL"/>
        </w:rPr>
        <w:t xml:space="preserve">maja 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>201</w:t>
      </w:r>
      <w:r w:rsidR="009A4C8D">
        <w:rPr>
          <w:rFonts w:ascii="Calibri" w:eastAsia="Times New Roman" w:hAnsi="Calibri" w:cs="Arial"/>
          <w:sz w:val="24"/>
          <w:szCs w:val="24"/>
          <w:lang w:eastAsia="pl-PL"/>
        </w:rPr>
        <w:t>8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 r.</w:t>
      </w:r>
      <w:r w:rsidR="00301799">
        <w:rPr>
          <w:rFonts w:ascii="Calibri" w:eastAsia="Times New Roman" w:hAnsi="Calibri" w:cs="Arial"/>
          <w:sz w:val="24"/>
          <w:szCs w:val="24"/>
          <w:lang w:eastAsia="pl-PL"/>
        </w:rPr>
        <w:t xml:space="preserve"> i 15 maja 2018 r.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 xml:space="preserve">, w sprawie pisemnej interpretacji co do zakresu i sposobu zastosowania przepisów art. 22 ustawy o rehabilitacji – </w:t>
      </w:r>
      <w:r w:rsidRPr="00D77871">
        <w:rPr>
          <w:rFonts w:ascii="Calibri" w:eastAsia="Times New Roman" w:hAnsi="Calibri" w:cs="Arial"/>
          <w:b/>
          <w:sz w:val="24"/>
          <w:szCs w:val="24"/>
          <w:lang w:eastAsia="pl-PL"/>
        </w:rPr>
        <w:t>jest prawidłowe</w:t>
      </w: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>.</w:t>
      </w:r>
    </w:p>
    <w:p w:rsidR="007D3C37" w:rsidRPr="00D77871" w:rsidRDefault="007D3C37" w:rsidP="00EF082B">
      <w:pPr>
        <w:spacing w:after="12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 w:rsidRPr="00D77871">
        <w:rPr>
          <w:rFonts w:ascii="Calibri" w:eastAsia="Times New Roman" w:hAnsi="Calibri" w:cs="Arial"/>
          <w:sz w:val="24"/>
          <w:szCs w:val="24"/>
          <w:lang w:eastAsia="pl-PL"/>
        </w:rPr>
        <w:t>W związku z powyższym, postanowiono jak w sentencji.</w:t>
      </w:r>
    </w:p>
    <w:p w:rsidR="00E010A6" w:rsidRPr="007D3C37" w:rsidRDefault="007D3C37" w:rsidP="00FA0461">
      <w:pPr>
        <w:spacing w:after="120" w:line="360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7D3C37">
        <w:rPr>
          <w:rFonts w:ascii="Calibri" w:eastAsia="Times New Roman" w:hAnsi="Calibri" w:cs="Arial"/>
          <w:sz w:val="20"/>
          <w:szCs w:val="20"/>
          <w:lang w:eastAsia="pl-PL"/>
        </w:rPr>
        <w:t>I</w:t>
      </w:r>
      <w:r w:rsidR="00E010A6" w:rsidRPr="007D3C37">
        <w:rPr>
          <w:rFonts w:ascii="Calibri" w:eastAsia="Times New Roman" w:hAnsi="Calibri" w:cs="Arial"/>
          <w:sz w:val="20"/>
          <w:szCs w:val="20"/>
          <w:lang w:eastAsia="pl-PL"/>
        </w:rPr>
        <w:t xml:space="preserve">nterpretacja dotyczy stanu faktycznego przedstawionego przez Wnioskodawcę i stanu prawnego obowiązującego w dniu wydania interpretacji. Organ w postępowaniu w sprawie urzędowej interpretacji nie może prowadzić żadnego postępowania dowodowego, bowiem przedmiotem postępowania nie jest ustalenie stanu faktycznego – stan ten jest stanem hipotetycznym, określonym przez wnioskującego o interpretację. Nie może go własnymi ocenami podważać, ustalać, uzupełniać ani też zmieniać w jakimkolwiek zakresie, nawet wówczas, gdy w oparciu o inne źródła, czy wiedzę znaną mu z urzędu, powziąłby uzasadnione wątpliwości co do zgodności przedstawionego przez przedsiębiorcę-wnioskodawcę stanu faktycznego z obiektywną </w:t>
      </w:r>
      <w:r>
        <w:rPr>
          <w:rFonts w:ascii="Calibri" w:eastAsia="Times New Roman" w:hAnsi="Calibri" w:cs="Arial"/>
          <w:sz w:val="20"/>
          <w:szCs w:val="20"/>
          <w:lang w:eastAsia="pl-PL"/>
        </w:rPr>
        <w:t>r</w:t>
      </w:r>
      <w:r w:rsidR="00E010A6" w:rsidRPr="007D3C37">
        <w:rPr>
          <w:rFonts w:ascii="Calibri" w:eastAsia="Times New Roman" w:hAnsi="Calibri" w:cs="Arial"/>
          <w:sz w:val="20"/>
          <w:szCs w:val="20"/>
          <w:lang w:eastAsia="pl-PL"/>
        </w:rPr>
        <w:t xml:space="preserve">zeczywistością (wyrok Wojewódzkiego Sądu Administracyjnego w Gorzowie Wlkp. z dnia 16 lipca 2009 r., sygn. </w:t>
      </w:r>
      <w:r w:rsidR="006916CE" w:rsidRPr="007D3C37">
        <w:rPr>
          <w:rFonts w:ascii="Calibri" w:eastAsia="Times New Roman" w:hAnsi="Calibri" w:cs="Arial"/>
          <w:sz w:val="20"/>
          <w:szCs w:val="20"/>
          <w:lang w:eastAsia="pl-PL"/>
        </w:rPr>
        <w:t>a</w:t>
      </w:r>
      <w:r w:rsidR="00E010A6" w:rsidRPr="007D3C37">
        <w:rPr>
          <w:rFonts w:ascii="Calibri" w:eastAsia="Times New Roman" w:hAnsi="Calibri" w:cs="Arial"/>
          <w:sz w:val="20"/>
          <w:szCs w:val="20"/>
          <w:lang w:eastAsia="pl-PL"/>
        </w:rPr>
        <w:t xml:space="preserve">kt II SAB/Go 8/09).      </w:t>
      </w:r>
    </w:p>
    <w:p w:rsidR="00E010A6" w:rsidRPr="00E010A6" w:rsidRDefault="00E010A6" w:rsidP="00FA0461">
      <w:pPr>
        <w:spacing w:line="360" w:lineRule="auto"/>
        <w:jc w:val="both"/>
        <w:rPr>
          <w:rFonts w:ascii="Calibri" w:eastAsia="Times New Roman" w:hAnsi="Calibri" w:cs="Arial"/>
          <w:b/>
          <w:sz w:val="24"/>
          <w:szCs w:val="24"/>
          <w:lang w:eastAsia="pl-PL"/>
        </w:rPr>
      </w:pPr>
      <w:r w:rsidRPr="00E010A6">
        <w:rPr>
          <w:rFonts w:ascii="Calibri" w:eastAsia="Times New Roman" w:hAnsi="Calibri" w:cs="Arial"/>
          <w:b/>
          <w:sz w:val="24"/>
          <w:szCs w:val="24"/>
          <w:lang w:eastAsia="pl-PL"/>
        </w:rPr>
        <w:t>Pouczenie:</w:t>
      </w:r>
    </w:p>
    <w:p w:rsidR="00E010A6" w:rsidRPr="00E010A6" w:rsidRDefault="00E010A6" w:rsidP="00FA0461">
      <w:pPr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010A6">
        <w:rPr>
          <w:rFonts w:ascii="Calibri" w:eastAsia="Times New Roman" w:hAnsi="Calibri" w:cs="Arial"/>
          <w:sz w:val="24"/>
          <w:szCs w:val="24"/>
          <w:lang w:eastAsia="pl-PL"/>
        </w:rPr>
        <w:t>Od niniejszej decyzji przysługuje Stronie, za pośrednictwem Prezesa Zarządu PFRON odwołanie do Ministra Rodziny, Pracy i Polityki Społecznej w terminie 14 dni od dnia jej doręczenia.</w:t>
      </w:r>
      <w:r w:rsidRPr="00E010A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 W trakcie biegu terminu do wniesienia odwołania Strona może zrzec się prawa do jego wniesienia. Z dniem doręczenia </w:t>
      </w:r>
      <w:r w:rsidRPr="00E010A6">
        <w:rPr>
          <w:rFonts w:ascii="Calibri" w:eastAsia="Times New Roman" w:hAnsi="Calibri" w:cs="Arial"/>
          <w:sz w:val="24"/>
          <w:szCs w:val="24"/>
          <w:lang w:eastAsia="pl-PL"/>
        </w:rPr>
        <w:t>Prezesowi Zarządu PFRON</w:t>
      </w:r>
      <w:r w:rsidRPr="00E010A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oświadczenia o zrzeczeniu się prawa do wniesienia odwołania przez Stronę, decyzja staje się ostateczna i prawomocna</w:t>
      </w:r>
    </w:p>
    <w:p w:rsidR="00D77871" w:rsidRDefault="00D77871" w:rsidP="00D77871">
      <w:pPr>
        <w:spacing w:after="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7D3C37" w:rsidRDefault="007D3C37" w:rsidP="00D77871">
      <w:pPr>
        <w:spacing w:after="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7D3C37" w:rsidRDefault="007D3C37" w:rsidP="00D77871">
      <w:pPr>
        <w:spacing w:after="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7D3C37" w:rsidRDefault="007D3C37" w:rsidP="00D77871">
      <w:pPr>
        <w:spacing w:after="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7D3C37" w:rsidRDefault="007D3C37" w:rsidP="00D77871">
      <w:pPr>
        <w:spacing w:after="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7D3C37" w:rsidRDefault="007D3C37" w:rsidP="00D77871">
      <w:pPr>
        <w:spacing w:after="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7D3C37" w:rsidRDefault="007D3C37" w:rsidP="00D77871">
      <w:pPr>
        <w:spacing w:after="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D77871" w:rsidRDefault="00D77871" w:rsidP="00D77871">
      <w:pPr>
        <w:spacing w:after="0" w:line="36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D77871" w:rsidRPr="00D77871" w:rsidRDefault="00D77871" w:rsidP="00D77871">
      <w:pPr>
        <w:spacing w:after="120" w:line="360" w:lineRule="auto"/>
        <w:jc w:val="both"/>
        <w:rPr>
          <w:rFonts w:ascii="Calibri" w:eastAsia="Times New Roman" w:hAnsi="Calibri" w:cs="Arial"/>
          <w:b/>
          <w:sz w:val="24"/>
          <w:szCs w:val="24"/>
          <w:lang w:eastAsia="pl-PL"/>
        </w:rPr>
      </w:pPr>
    </w:p>
    <w:sectPr w:rsidR="00D77871" w:rsidRPr="00D77871" w:rsidSect="00AB3B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82338"/>
    <w:multiLevelType w:val="hybridMultilevel"/>
    <w:tmpl w:val="56ECFD9C"/>
    <w:lvl w:ilvl="0" w:tplc="23222B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F07EB6"/>
    <w:multiLevelType w:val="hybridMultilevel"/>
    <w:tmpl w:val="CBF2BD52"/>
    <w:lvl w:ilvl="0" w:tplc="0D0A7FD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C42C4B"/>
    <w:multiLevelType w:val="hybridMultilevel"/>
    <w:tmpl w:val="D17659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C17232"/>
    <w:multiLevelType w:val="hybridMultilevel"/>
    <w:tmpl w:val="945CF6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362D62"/>
    <w:multiLevelType w:val="hybridMultilevel"/>
    <w:tmpl w:val="8A4866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D97AE9"/>
    <w:multiLevelType w:val="hybridMultilevel"/>
    <w:tmpl w:val="2B3E57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hyphenationZone w:val="425"/>
  <w:characterSpacingControl w:val="doNotCompress"/>
  <w:compat/>
  <w:rsids>
    <w:rsidRoot w:val="002E3267"/>
    <w:rsid w:val="000078B5"/>
    <w:rsid w:val="00007FBF"/>
    <w:rsid w:val="00010390"/>
    <w:rsid w:val="00021652"/>
    <w:rsid w:val="00055140"/>
    <w:rsid w:val="000A52C6"/>
    <w:rsid w:val="001850C2"/>
    <w:rsid w:val="0018751C"/>
    <w:rsid w:val="0019190E"/>
    <w:rsid w:val="0023230D"/>
    <w:rsid w:val="0027749A"/>
    <w:rsid w:val="00284873"/>
    <w:rsid w:val="002E3267"/>
    <w:rsid w:val="002F23F3"/>
    <w:rsid w:val="00301799"/>
    <w:rsid w:val="003401F8"/>
    <w:rsid w:val="003712C5"/>
    <w:rsid w:val="00391EA6"/>
    <w:rsid w:val="003A1E4E"/>
    <w:rsid w:val="003B06BB"/>
    <w:rsid w:val="003B47F8"/>
    <w:rsid w:val="003C07C0"/>
    <w:rsid w:val="00403505"/>
    <w:rsid w:val="00423776"/>
    <w:rsid w:val="004A256C"/>
    <w:rsid w:val="004B4DF7"/>
    <w:rsid w:val="004C1704"/>
    <w:rsid w:val="004C78F4"/>
    <w:rsid w:val="004D7690"/>
    <w:rsid w:val="004E1F1A"/>
    <w:rsid w:val="00511C7D"/>
    <w:rsid w:val="00615549"/>
    <w:rsid w:val="00617E87"/>
    <w:rsid w:val="00671500"/>
    <w:rsid w:val="006752C4"/>
    <w:rsid w:val="006841CD"/>
    <w:rsid w:val="0068709A"/>
    <w:rsid w:val="006916CE"/>
    <w:rsid w:val="00695811"/>
    <w:rsid w:val="006A1ECE"/>
    <w:rsid w:val="00730F87"/>
    <w:rsid w:val="00737C5B"/>
    <w:rsid w:val="00754E25"/>
    <w:rsid w:val="007676E7"/>
    <w:rsid w:val="007C2542"/>
    <w:rsid w:val="007D3C37"/>
    <w:rsid w:val="00805466"/>
    <w:rsid w:val="00812C1F"/>
    <w:rsid w:val="008224CA"/>
    <w:rsid w:val="008B67C5"/>
    <w:rsid w:val="008C58C0"/>
    <w:rsid w:val="009148D5"/>
    <w:rsid w:val="009305EF"/>
    <w:rsid w:val="00941D9B"/>
    <w:rsid w:val="00944C5A"/>
    <w:rsid w:val="00951351"/>
    <w:rsid w:val="009A1C12"/>
    <w:rsid w:val="009A4C8D"/>
    <w:rsid w:val="009A6265"/>
    <w:rsid w:val="009B1410"/>
    <w:rsid w:val="009E43BD"/>
    <w:rsid w:val="00A271E5"/>
    <w:rsid w:val="00A37215"/>
    <w:rsid w:val="00A81DC8"/>
    <w:rsid w:val="00A86505"/>
    <w:rsid w:val="00A876EF"/>
    <w:rsid w:val="00A974B4"/>
    <w:rsid w:val="00AB3BCC"/>
    <w:rsid w:val="00AD5E9E"/>
    <w:rsid w:val="00B34F8A"/>
    <w:rsid w:val="00B61290"/>
    <w:rsid w:val="00B66B95"/>
    <w:rsid w:val="00B70889"/>
    <w:rsid w:val="00BA6A79"/>
    <w:rsid w:val="00BF6035"/>
    <w:rsid w:val="00C077CA"/>
    <w:rsid w:val="00C63409"/>
    <w:rsid w:val="00C84263"/>
    <w:rsid w:val="00D77871"/>
    <w:rsid w:val="00DC03E1"/>
    <w:rsid w:val="00DE0369"/>
    <w:rsid w:val="00E010A6"/>
    <w:rsid w:val="00E2688D"/>
    <w:rsid w:val="00E50197"/>
    <w:rsid w:val="00E566D1"/>
    <w:rsid w:val="00E759F8"/>
    <w:rsid w:val="00E81D9B"/>
    <w:rsid w:val="00EA0A1E"/>
    <w:rsid w:val="00EB3371"/>
    <w:rsid w:val="00EE4B3C"/>
    <w:rsid w:val="00EF082B"/>
    <w:rsid w:val="00F00FE7"/>
    <w:rsid w:val="00F06CE7"/>
    <w:rsid w:val="00F347EA"/>
    <w:rsid w:val="00F61575"/>
    <w:rsid w:val="00FA0461"/>
    <w:rsid w:val="00FC2B93"/>
    <w:rsid w:val="00FD1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3B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326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7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76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326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7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76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64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82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15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56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501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600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589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317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051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996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94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292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0696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464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6581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1407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1180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83602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0873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53553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70265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84886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45406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92791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360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864094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0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6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8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79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80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45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094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973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569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148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0231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0837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1999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4301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54813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9129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69981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88E4E-3AD5-4E1D-8060-37BFC25A4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1874</Words>
  <Characters>11248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r</cp:lastModifiedBy>
  <cp:revision>3</cp:revision>
  <cp:lastPrinted>2018-05-15T07:12:00Z</cp:lastPrinted>
  <dcterms:created xsi:type="dcterms:W3CDTF">2018-06-08T08:36:00Z</dcterms:created>
  <dcterms:modified xsi:type="dcterms:W3CDTF">2018-06-08T11:55:00Z</dcterms:modified>
</cp:coreProperties>
</file>